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18" w:rsidRPr="00486F5F" w:rsidRDefault="009D3277" w:rsidP="000D3AC0">
      <w:pPr>
        <w:pStyle w:val="LGAItemNoHeading"/>
        <w:spacing w:before="240"/>
        <w:rPr>
          <w:rFonts w:ascii="Arial" w:hAnsi="Arial" w:cs="Arial"/>
          <w:sz w:val="28"/>
          <w:szCs w:val="28"/>
        </w:rPr>
      </w:pPr>
      <w:r>
        <w:rPr>
          <w:rFonts w:ascii="Arial" w:hAnsi="Arial" w:cs="Arial"/>
          <w:sz w:val="28"/>
          <w:szCs w:val="28"/>
        </w:rPr>
        <w:t>FSMC</w:t>
      </w:r>
      <w:r w:rsidR="000D3AC0" w:rsidRPr="00486F5F">
        <w:rPr>
          <w:rFonts w:ascii="Arial" w:hAnsi="Arial" w:cs="Arial"/>
          <w:sz w:val="28"/>
          <w:szCs w:val="28"/>
        </w:rPr>
        <w:t xml:space="preserve"> Policy Priorities for 201</w:t>
      </w:r>
      <w:r w:rsidR="004061B2">
        <w:rPr>
          <w:rFonts w:ascii="Arial" w:hAnsi="Arial" w:cs="Arial"/>
          <w:sz w:val="28"/>
          <w:szCs w:val="28"/>
        </w:rPr>
        <w:t>8-19</w:t>
      </w:r>
    </w:p>
    <w:p w:rsidR="00A64C18" w:rsidRPr="00486F5F" w:rsidRDefault="00761F3D">
      <w:pPr>
        <w:pStyle w:val="MainText"/>
        <w:rPr>
          <w:rFonts w:ascii="Arial" w:hAnsi="Arial" w:cs="Arial"/>
          <w:b/>
          <w:szCs w:val="22"/>
        </w:rPr>
      </w:pPr>
      <w:r w:rsidRPr="00486F5F">
        <w:rPr>
          <w:rFonts w:ascii="Arial" w:hAnsi="Arial" w:cs="Arial"/>
          <w:b/>
          <w:szCs w:val="22"/>
        </w:rPr>
        <w:t xml:space="preserve">Purpose of report </w:t>
      </w:r>
    </w:p>
    <w:p w:rsidR="00A64C18" w:rsidRPr="00486F5F" w:rsidRDefault="00A64C18">
      <w:pPr>
        <w:pStyle w:val="MainText"/>
        <w:rPr>
          <w:rFonts w:ascii="Arial" w:hAnsi="Arial" w:cs="Arial"/>
          <w:szCs w:val="22"/>
        </w:rPr>
      </w:pPr>
    </w:p>
    <w:p w:rsidR="00A64C18" w:rsidRPr="00486F5F" w:rsidRDefault="00761F3D">
      <w:pPr>
        <w:pStyle w:val="MainText"/>
        <w:rPr>
          <w:rFonts w:ascii="Arial" w:hAnsi="Arial" w:cs="Arial"/>
          <w:szCs w:val="22"/>
        </w:rPr>
      </w:pPr>
      <w:r w:rsidRPr="00486F5F">
        <w:rPr>
          <w:rFonts w:ascii="Arial" w:hAnsi="Arial" w:cs="Arial"/>
          <w:szCs w:val="22"/>
        </w:rPr>
        <w:t xml:space="preserve">For </w:t>
      </w:r>
      <w:r w:rsidR="000D3AC0" w:rsidRPr="00486F5F">
        <w:rPr>
          <w:rFonts w:ascii="Arial" w:hAnsi="Arial" w:cs="Arial"/>
          <w:szCs w:val="22"/>
        </w:rPr>
        <w:t>discussion and decision.</w:t>
      </w:r>
    </w:p>
    <w:p w:rsidR="00A64C18" w:rsidRPr="00486F5F" w:rsidRDefault="00A64C18">
      <w:pPr>
        <w:pStyle w:val="MainText"/>
        <w:rPr>
          <w:rFonts w:ascii="Arial" w:hAnsi="Arial" w:cs="Arial"/>
          <w:b/>
          <w:szCs w:val="22"/>
        </w:rPr>
      </w:pPr>
    </w:p>
    <w:p w:rsidR="00A64C18" w:rsidRPr="00486F5F" w:rsidRDefault="00761F3D">
      <w:pPr>
        <w:pStyle w:val="MainText"/>
        <w:rPr>
          <w:rFonts w:ascii="Arial" w:hAnsi="Arial" w:cs="Arial"/>
        </w:rPr>
      </w:pPr>
      <w:r w:rsidRPr="00486F5F">
        <w:rPr>
          <w:rFonts w:ascii="Arial" w:hAnsi="Arial" w:cs="Arial"/>
          <w:b/>
          <w:szCs w:val="22"/>
        </w:rPr>
        <w:t>Summary</w:t>
      </w:r>
    </w:p>
    <w:p w:rsidR="00A64C18" w:rsidRPr="00486F5F" w:rsidRDefault="00A64C18">
      <w:pPr>
        <w:pStyle w:val="MainText"/>
        <w:rPr>
          <w:rFonts w:ascii="Arial" w:hAnsi="Arial" w:cs="Arial"/>
          <w:szCs w:val="22"/>
        </w:rPr>
      </w:pPr>
    </w:p>
    <w:p w:rsidR="00A64C18" w:rsidRPr="00486F5F" w:rsidRDefault="000D3AC0" w:rsidP="006D20A7">
      <w:pPr>
        <w:pStyle w:val="MainText"/>
        <w:rPr>
          <w:rFonts w:ascii="Arial" w:hAnsi="Arial" w:cs="Arial"/>
          <w:szCs w:val="22"/>
        </w:rPr>
      </w:pPr>
      <w:r w:rsidRPr="00486F5F">
        <w:rPr>
          <w:rFonts w:ascii="Arial" w:hAnsi="Arial" w:cs="Arial"/>
          <w:szCs w:val="22"/>
        </w:rPr>
        <w:t xml:space="preserve">This paper sets out proposals for the </w:t>
      </w:r>
      <w:r w:rsidR="00AE0F29">
        <w:rPr>
          <w:rFonts w:ascii="Arial" w:hAnsi="Arial" w:cs="Arial"/>
          <w:szCs w:val="22"/>
        </w:rPr>
        <w:t>Fire Services Management Committee (FSMC</w:t>
      </w:r>
      <w:r w:rsidRPr="00486F5F">
        <w:rPr>
          <w:rFonts w:ascii="Arial" w:hAnsi="Arial" w:cs="Arial"/>
          <w:szCs w:val="22"/>
        </w:rPr>
        <w:t xml:space="preserve">) priorities and work programme for </w:t>
      </w:r>
      <w:r w:rsidR="004061B2">
        <w:rPr>
          <w:rFonts w:ascii="Arial" w:hAnsi="Arial" w:cs="Arial"/>
          <w:szCs w:val="22"/>
        </w:rPr>
        <w:t>2018-19 for comments</w:t>
      </w:r>
      <w:r w:rsidRPr="00486F5F">
        <w:rPr>
          <w:rFonts w:ascii="Arial" w:hAnsi="Arial" w:cs="Arial"/>
          <w:szCs w:val="22"/>
        </w:rPr>
        <w:t xml:space="preserve">. The proposals are based on both corporate LGA priorities and options for broader work based on a combination of areas of interest previously indicated by Board members, ongoing work and recent policy announcements by Government. Subject to members’ views, officers will develop a work programme to deliver these priorities. </w:t>
      </w:r>
    </w:p>
    <w:p w:rsidR="00A64C18" w:rsidRPr="00486F5F" w:rsidRDefault="00761F3D">
      <w:pPr>
        <w:pStyle w:val="MainText"/>
        <w:ind w:left="567"/>
        <w:rPr>
          <w:rFonts w:ascii="Arial" w:hAnsi="Arial" w:cs="Arial"/>
          <w:szCs w:val="22"/>
        </w:rPr>
      </w:pPr>
      <w:r w:rsidRPr="00486F5F">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486F5F">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A64C18" w:rsidRPr="00486F5F" w:rsidRDefault="00A64C18">
            <w:pPr>
              <w:pStyle w:val="MainText"/>
              <w:rPr>
                <w:rFonts w:ascii="Arial" w:hAnsi="Arial" w:cs="Arial"/>
                <w:b/>
                <w:szCs w:val="22"/>
              </w:rPr>
            </w:pPr>
          </w:p>
          <w:p w:rsidR="00A64C18" w:rsidRPr="00486F5F" w:rsidRDefault="00761F3D">
            <w:pPr>
              <w:pStyle w:val="MainText"/>
              <w:rPr>
                <w:rFonts w:ascii="Arial" w:hAnsi="Arial" w:cs="Arial"/>
                <w:b/>
                <w:szCs w:val="22"/>
              </w:rPr>
            </w:pPr>
            <w:r w:rsidRPr="00486F5F">
              <w:rPr>
                <w:rFonts w:ascii="Arial" w:hAnsi="Arial" w:cs="Arial"/>
                <w:b/>
                <w:szCs w:val="22"/>
              </w:rPr>
              <w:t>Recommendation</w:t>
            </w:r>
          </w:p>
          <w:p w:rsidR="00A64C18" w:rsidRPr="00486F5F" w:rsidRDefault="00A64C18">
            <w:pPr>
              <w:pStyle w:val="MainText"/>
              <w:rPr>
                <w:rFonts w:ascii="Arial" w:hAnsi="Arial" w:cs="Arial"/>
                <w:b/>
                <w:szCs w:val="22"/>
              </w:rPr>
            </w:pPr>
          </w:p>
          <w:p w:rsidR="00A64C18" w:rsidRPr="00486F5F" w:rsidRDefault="0020573E">
            <w:pPr>
              <w:pStyle w:val="MainText"/>
              <w:rPr>
                <w:rFonts w:ascii="Arial" w:hAnsi="Arial" w:cs="Arial"/>
                <w:szCs w:val="22"/>
              </w:rPr>
            </w:pPr>
            <w:r w:rsidRPr="00486F5F">
              <w:rPr>
                <w:rFonts w:ascii="Arial" w:hAnsi="Arial" w:cs="Arial"/>
                <w:szCs w:val="22"/>
              </w:rPr>
              <w:t xml:space="preserve">That the </w:t>
            </w:r>
            <w:r w:rsidR="004061B2">
              <w:rPr>
                <w:rFonts w:ascii="Arial" w:hAnsi="Arial" w:cs="Arial"/>
                <w:szCs w:val="22"/>
              </w:rPr>
              <w:t xml:space="preserve">FSMC </w:t>
            </w:r>
            <w:r w:rsidR="000D3AC0" w:rsidRPr="00486F5F">
              <w:rPr>
                <w:rFonts w:ascii="Arial" w:hAnsi="Arial" w:cs="Arial"/>
                <w:szCs w:val="22"/>
              </w:rPr>
              <w:t xml:space="preserve">discuss the </w:t>
            </w:r>
            <w:r w:rsidR="005635A8">
              <w:rPr>
                <w:rFonts w:ascii="Arial" w:hAnsi="Arial" w:cs="Arial"/>
                <w:szCs w:val="22"/>
              </w:rPr>
              <w:t>FSMC’s</w:t>
            </w:r>
            <w:r w:rsidR="000D3AC0" w:rsidRPr="00486F5F">
              <w:rPr>
                <w:rFonts w:ascii="Arial" w:hAnsi="Arial" w:cs="Arial"/>
                <w:szCs w:val="22"/>
              </w:rPr>
              <w:t xml:space="preserve"> priori</w:t>
            </w:r>
            <w:r w:rsidR="004061B2">
              <w:rPr>
                <w:rFonts w:ascii="Arial" w:hAnsi="Arial" w:cs="Arial"/>
                <w:szCs w:val="22"/>
              </w:rPr>
              <w:t>ties and work programme for 201</w:t>
            </w:r>
            <w:r w:rsidR="000D3AC0" w:rsidRPr="00486F5F">
              <w:rPr>
                <w:rFonts w:ascii="Arial" w:hAnsi="Arial" w:cs="Arial"/>
                <w:szCs w:val="22"/>
              </w:rPr>
              <w:t>8</w:t>
            </w:r>
            <w:r w:rsidR="004061B2">
              <w:rPr>
                <w:rFonts w:ascii="Arial" w:hAnsi="Arial" w:cs="Arial"/>
                <w:szCs w:val="22"/>
              </w:rPr>
              <w:t>-19</w:t>
            </w:r>
            <w:r w:rsidR="00761F3D" w:rsidRPr="00486F5F">
              <w:rPr>
                <w:rFonts w:ascii="Arial" w:hAnsi="Arial" w:cs="Arial"/>
                <w:szCs w:val="22"/>
              </w:rPr>
              <w:t>.</w:t>
            </w:r>
          </w:p>
          <w:p w:rsidR="00A64C18" w:rsidRPr="00486F5F" w:rsidRDefault="00A64C18">
            <w:pPr>
              <w:pStyle w:val="MainText"/>
              <w:rPr>
                <w:rFonts w:ascii="Arial" w:hAnsi="Arial" w:cs="Arial"/>
                <w:szCs w:val="22"/>
              </w:rPr>
            </w:pPr>
          </w:p>
          <w:p w:rsidR="00A64C18" w:rsidRPr="00486F5F" w:rsidRDefault="00761F3D">
            <w:pPr>
              <w:pStyle w:val="MainText"/>
              <w:rPr>
                <w:rFonts w:ascii="Arial" w:hAnsi="Arial" w:cs="Arial"/>
                <w:b/>
                <w:szCs w:val="22"/>
              </w:rPr>
            </w:pPr>
            <w:r w:rsidRPr="00486F5F">
              <w:rPr>
                <w:rFonts w:ascii="Arial" w:hAnsi="Arial" w:cs="Arial"/>
                <w:b/>
                <w:szCs w:val="22"/>
              </w:rPr>
              <w:t>Action</w:t>
            </w:r>
          </w:p>
          <w:p w:rsidR="00A64C18" w:rsidRPr="00486F5F" w:rsidRDefault="00A64C18">
            <w:pPr>
              <w:pStyle w:val="MainText"/>
              <w:rPr>
                <w:rFonts w:ascii="Arial" w:hAnsi="Arial" w:cs="Arial"/>
                <w:b/>
                <w:szCs w:val="22"/>
              </w:rPr>
            </w:pPr>
          </w:p>
          <w:p w:rsidR="00A64C18" w:rsidRPr="00486F5F" w:rsidRDefault="00761F3D">
            <w:pPr>
              <w:pStyle w:val="MainText"/>
              <w:rPr>
                <w:rFonts w:ascii="Arial" w:hAnsi="Arial" w:cs="Arial"/>
                <w:szCs w:val="22"/>
              </w:rPr>
            </w:pPr>
            <w:r w:rsidRPr="00486F5F">
              <w:rPr>
                <w:rFonts w:ascii="Arial" w:hAnsi="Arial" w:cs="Arial"/>
                <w:szCs w:val="22"/>
              </w:rPr>
              <w:t xml:space="preserve">Officers </w:t>
            </w:r>
            <w:r w:rsidR="000D3AC0" w:rsidRPr="00486F5F">
              <w:rPr>
                <w:rFonts w:ascii="Arial" w:hAnsi="Arial" w:cs="Arial"/>
                <w:szCs w:val="22"/>
              </w:rPr>
              <w:t>will undertake the projects set out in the report.</w:t>
            </w:r>
          </w:p>
          <w:p w:rsidR="00A64C18" w:rsidRPr="00486F5F" w:rsidRDefault="00A64C18">
            <w:pPr>
              <w:pStyle w:val="MainText"/>
              <w:rPr>
                <w:rFonts w:ascii="Arial" w:hAnsi="Arial" w:cs="Arial"/>
                <w:b/>
                <w:szCs w:val="22"/>
              </w:rPr>
            </w:pPr>
          </w:p>
        </w:tc>
      </w:tr>
    </w:tbl>
    <w:p w:rsidR="00A64C18" w:rsidRPr="00486F5F" w:rsidRDefault="00A64C18">
      <w:pPr>
        <w:pStyle w:val="MainText"/>
        <w:rPr>
          <w:rFonts w:ascii="Arial" w:hAnsi="Arial" w:cs="Arial"/>
          <w:szCs w:val="22"/>
        </w:rPr>
      </w:pPr>
    </w:p>
    <w:p w:rsidR="00A64C18" w:rsidRPr="00486F5F"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486F5F">
        <w:tc>
          <w:tcPr>
            <w:tcW w:w="2767" w:type="dxa"/>
            <w:shd w:val="clear" w:color="auto" w:fill="auto"/>
            <w:tcMar>
              <w:top w:w="0" w:type="dxa"/>
              <w:left w:w="108" w:type="dxa"/>
              <w:bottom w:w="0" w:type="dxa"/>
              <w:right w:w="108" w:type="dxa"/>
            </w:tcMar>
          </w:tcPr>
          <w:p w:rsidR="00A64C18" w:rsidRPr="00486F5F" w:rsidRDefault="00761F3D">
            <w:pPr>
              <w:pStyle w:val="MainText"/>
              <w:spacing w:after="120" w:line="240" w:lineRule="auto"/>
              <w:rPr>
                <w:rFonts w:ascii="Arial" w:hAnsi="Arial" w:cs="Arial"/>
              </w:rPr>
            </w:pPr>
            <w:r w:rsidRPr="00486F5F">
              <w:rPr>
                <w:rFonts w:ascii="Arial" w:hAnsi="Arial" w:cs="Arial"/>
                <w:b/>
                <w:szCs w:val="22"/>
              </w:rPr>
              <w:t>Contact officer:</w:t>
            </w:r>
            <w:r w:rsidRPr="00486F5F">
              <w:rPr>
                <w:rFonts w:ascii="Arial" w:hAnsi="Arial" w:cs="Arial"/>
                <w:szCs w:val="22"/>
              </w:rPr>
              <w:t xml:space="preserve">  </w:t>
            </w:r>
          </w:p>
        </w:tc>
        <w:tc>
          <w:tcPr>
            <w:tcW w:w="6304" w:type="dxa"/>
            <w:shd w:val="clear" w:color="auto" w:fill="auto"/>
            <w:tcMar>
              <w:top w:w="0" w:type="dxa"/>
              <w:left w:w="108" w:type="dxa"/>
              <w:bottom w:w="0" w:type="dxa"/>
              <w:right w:w="108" w:type="dxa"/>
            </w:tcMar>
          </w:tcPr>
          <w:p w:rsidR="00A64C18" w:rsidRPr="00486F5F" w:rsidRDefault="00F42712">
            <w:pPr>
              <w:pStyle w:val="MainText"/>
              <w:spacing w:after="120" w:line="240" w:lineRule="auto"/>
              <w:rPr>
                <w:rFonts w:ascii="Arial" w:hAnsi="Arial" w:cs="Arial"/>
                <w:szCs w:val="22"/>
              </w:rPr>
            </w:pPr>
            <w:r>
              <w:rPr>
                <w:rFonts w:ascii="Arial" w:hAnsi="Arial" w:cs="Arial"/>
                <w:szCs w:val="22"/>
              </w:rPr>
              <w:t>Lucy Ellender</w:t>
            </w:r>
          </w:p>
        </w:tc>
      </w:tr>
      <w:tr w:rsidR="00A64C18" w:rsidRPr="00486F5F">
        <w:tc>
          <w:tcPr>
            <w:tcW w:w="2767" w:type="dxa"/>
            <w:shd w:val="clear" w:color="auto" w:fill="auto"/>
            <w:tcMar>
              <w:top w:w="0" w:type="dxa"/>
              <w:left w:w="108" w:type="dxa"/>
              <w:bottom w:w="0" w:type="dxa"/>
              <w:right w:w="108" w:type="dxa"/>
            </w:tcMar>
          </w:tcPr>
          <w:p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Position:</w:t>
            </w:r>
          </w:p>
        </w:tc>
        <w:tc>
          <w:tcPr>
            <w:tcW w:w="6304" w:type="dxa"/>
            <w:shd w:val="clear" w:color="auto" w:fill="auto"/>
            <w:tcMar>
              <w:top w:w="0" w:type="dxa"/>
              <w:left w:w="108" w:type="dxa"/>
              <w:bottom w:w="0" w:type="dxa"/>
              <w:right w:w="108" w:type="dxa"/>
            </w:tcMar>
          </w:tcPr>
          <w:p w:rsidR="00A64C18" w:rsidRPr="00486F5F" w:rsidRDefault="0020573E">
            <w:pPr>
              <w:pStyle w:val="MainText"/>
              <w:spacing w:after="120" w:line="240" w:lineRule="auto"/>
              <w:rPr>
                <w:rFonts w:ascii="Arial" w:hAnsi="Arial" w:cs="Arial"/>
                <w:szCs w:val="22"/>
              </w:rPr>
            </w:pPr>
            <w:r w:rsidRPr="00486F5F">
              <w:rPr>
                <w:rFonts w:ascii="Arial" w:hAnsi="Arial" w:cs="Arial"/>
                <w:szCs w:val="22"/>
              </w:rPr>
              <w:t>Adviser</w:t>
            </w:r>
          </w:p>
        </w:tc>
      </w:tr>
      <w:tr w:rsidR="00A64C18" w:rsidRPr="00486F5F">
        <w:tc>
          <w:tcPr>
            <w:tcW w:w="2767" w:type="dxa"/>
            <w:shd w:val="clear" w:color="auto" w:fill="auto"/>
            <w:tcMar>
              <w:top w:w="0" w:type="dxa"/>
              <w:left w:w="108" w:type="dxa"/>
              <w:bottom w:w="0" w:type="dxa"/>
              <w:right w:w="108" w:type="dxa"/>
            </w:tcMar>
          </w:tcPr>
          <w:p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Phone no:</w:t>
            </w:r>
          </w:p>
        </w:tc>
        <w:tc>
          <w:tcPr>
            <w:tcW w:w="6304" w:type="dxa"/>
            <w:shd w:val="clear" w:color="auto" w:fill="auto"/>
            <w:tcMar>
              <w:top w:w="0" w:type="dxa"/>
              <w:left w:w="108" w:type="dxa"/>
              <w:bottom w:w="0" w:type="dxa"/>
              <w:right w:w="108" w:type="dxa"/>
            </w:tcMar>
          </w:tcPr>
          <w:p w:rsidR="00A64C18" w:rsidRPr="00486F5F" w:rsidRDefault="0020573E" w:rsidP="004061B2">
            <w:pPr>
              <w:pStyle w:val="MainText"/>
              <w:spacing w:after="120" w:line="240" w:lineRule="auto"/>
              <w:rPr>
                <w:rFonts w:ascii="Arial" w:hAnsi="Arial" w:cs="Arial"/>
                <w:szCs w:val="22"/>
              </w:rPr>
            </w:pPr>
            <w:r w:rsidRPr="00486F5F">
              <w:rPr>
                <w:rFonts w:ascii="Arial" w:hAnsi="Arial" w:cs="Arial"/>
                <w:szCs w:val="22"/>
              </w:rPr>
              <w:t xml:space="preserve">0207 664 </w:t>
            </w:r>
            <w:r w:rsidR="00F42712">
              <w:rPr>
                <w:rFonts w:ascii="Arial" w:hAnsi="Arial" w:cs="Arial"/>
                <w:szCs w:val="22"/>
              </w:rPr>
              <w:t>3321</w:t>
            </w:r>
          </w:p>
        </w:tc>
      </w:tr>
      <w:tr w:rsidR="00A64C18" w:rsidRPr="00486F5F">
        <w:tc>
          <w:tcPr>
            <w:tcW w:w="2767" w:type="dxa"/>
            <w:shd w:val="clear" w:color="auto" w:fill="auto"/>
            <w:tcMar>
              <w:top w:w="0" w:type="dxa"/>
              <w:left w:w="108" w:type="dxa"/>
              <w:bottom w:w="0" w:type="dxa"/>
              <w:right w:w="108" w:type="dxa"/>
            </w:tcMar>
          </w:tcPr>
          <w:p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E-mail:</w:t>
            </w:r>
          </w:p>
        </w:tc>
        <w:tc>
          <w:tcPr>
            <w:tcW w:w="6304" w:type="dxa"/>
            <w:shd w:val="clear" w:color="auto" w:fill="auto"/>
            <w:tcMar>
              <w:top w:w="0" w:type="dxa"/>
              <w:left w:w="108" w:type="dxa"/>
              <w:bottom w:w="0" w:type="dxa"/>
              <w:right w:w="108" w:type="dxa"/>
            </w:tcMar>
          </w:tcPr>
          <w:p w:rsidR="00A64C18" w:rsidRPr="00486F5F" w:rsidRDefault="00DB4CA0" w:rsidP="004061B2">
            <w:pPr>
              <w:pStyle w:val="MainText"/>
              <w:spacing w:after="120" w:line="240" w:lineRule="auto"/>
              <w:rPr>
                <w:rFonts w:ascii="Arial" w:hAnsi="Arial" w:cs="Arial"/>
              </w:rPr>
            </w:pPr>
            <w:hyperlink r:id="rId10" w:history="1">
              <w:r w:rsidR="00F42712" w:rsidRPr="00B6437E">
                <w:rPr>
                  <w:rStyle w:val="Hyperlink"/>
                  <w:rFonts w:ascii="Arial" w:hAnsi="Arial" w:cs="Arial"/>
                  <w:szCs w:val="22"/>
                </w:rPr>
                <w:t>lucy.ellender@local.gov.uk</w:t>
              </w:r>
            </w:hyperlink>
            <w:r w:rsidR="000D3AC0" w:rsidRPr="00486F5F">
              <w:rPr>
                <w:rFonts w:ascii="Arial" w:hAnsi="Arial" w:cs="Arial"/>
                <w:szCs w:val="22"/>
              </w:rPr>
              <w:t xml:space="preserve"> </w:t>
            </w:r>
          </w:p>
        </w:tc>
      </w:tr>
    </w:tbl>
    <w:p w:rsidR="00A64C18" w:rsidRPr="00486F5F" w:rsidRDefault="00A64C18">
      <w:pPr>
        <w:pStyle w:val="MainText"/>
        <w:rPr>
          <w:rFonts w:ascii="Arial" w:hAnsi="Arial" w:cs="Arial"/>
          <w:sz w:val="24"/>
          <w:szCs w:val="24"/>
        </w:rPr>
      </w:pPr>
    </w:p>
    <w:p w:rsidR="00A64C18" w:rsidRPr="00486F5F" w:rsidRDefault="00A64C18">
      <w:pPr>
        <w:pStyle w:val="MainText"/>
        <w:rPr>
          <w:rFonts w:ascii="Arial" w:hAnsi="Arial" w:cs="Arial"/>
          <w:sz w:val="24"/>
          <w:szCs w:val="24"/>
        </w:rPr>
      </w:pPr>
    </w:p>
    <w:p w:rsidR="00A64C18" w:rsidRPr="00486F5F" w:rsidRDefault="00A64C18">
      <w:pPr>
        <w:pStyle w:val="MainText"/>
        <w:rPr>
          <w:rFonts w:ascii="Arial" w:hAnsi="Arial" w:cs="Arial"/>
          <w:sz w:val="24"/>
          <w:szCs w:val="24"/>
        </w:rPr>
        <w:sectPr w:rsidR="00A64C18" w:rsidRPr="00486F5F">
          <w:headerReference w:type="default" r:id="rId11"/>
          <w:footerReference w:type="default" r:id="rId12"/>
          <w:headerReference w:type="first" r:id="rId13"/>
          <w:pgSz w:w="11907" w:h="16840"/>
          <w:pgMar w:top="1418" w:right="1418" w:bottom="1418" w:left="1418" w:header="1134" w:footer="567" w:gutter="0"/>
          <w:cols w:space="720"/>
          <w:titlePg/>
        </w:sectPr>
      </w:pPr>
    </w:p>
    <w:p w:rsidR="002145DB" w:rsidRPr="00486F5F" w:rsidRDefault="009D3277" w:rsidP="00BA705B">
      <w:pPr>
        <w:pStyle w:val="Default"/>
        <w:tabs>
          <w:tab w:val="left" w:pos="567"/>
        </w:tabs>
        <w:rPr>
          <w:color w:val="auto"/>
          <w:sz w:val="22"/>
          <w:szCs w:val="22"/>
        </w:rPr>
      </w:pPr>
      <w:bookmarkStart w:id="0" w:name="MainHeading2"/>
      <w:bookmarkEnd w:id="0"/>
      <w:r>
        <w:rPr>
          <w:b/>
          <w:color w:val="auto"/>
          <w:sz w:val="28"/>
          <w:szCs w:val="28"/>
        </w:rPr>
        <w:lastRenderedPageBreak/>
        <w:t>FSMC</w:t>
      </w:r>
      <w:r w:rsidR="004061B2">
        <w:rPr>
          <w:b/>
          <w:color w:val="auto"/>
          <w:sz w:val="28"/>
          <w:szCs w:val="28"/>
        </w:rPr>
        <w:t xml:space="preserve"> Policy Priorities for 201</w:t>
      </w:r>
      <w:r w:rsidR="00BA705B" w:rsidRPr="00486F5F">
        <w:rPr>
          <w:b/>
          <w:color w:val="auto"/>
          <w:sz w:val="28"/>
          <w:szCs w:val="28"/>
        </w:rPr>
        <w:t>8</w:t>
      </w:r>
      <w:r w:rsidR="004061B2">
        <w:rPr>
          <w:b/>
          <w:color w:val="auto"/>
          <w:sz w:val="28"/>
          <w:szCs w:val="28"/>
        </w:rPr>
        <w:t>-19</w:t>
      </w:r>
      <w:r w:rsidR="002145DB" w:rsidRPr="00486F5F">
        <w:rPr>
          <w:color w:val="auto"/>
          <w:sz w:val="22"/>
          <w:szCs w:val="22"/>
        </w:rPr>
        <w:t xml:space="preserve"> </w:t>
      </w:r>
    </w:p>
    <w:p w:rsidR="000D3AC0" w:rsidRPr="00486F5F" w:rsidRDefault="000D3AC0" w:rsidP="00BA705B">
      <w:pPr>
        <w:pStyle w:val="Default"/>
        <w:tabs>
          <w:tab w:val="left" w:pos="567"/>
        </w:tabs>
        <w:rPr>
          <w:b/>
          <w:color w:val="auto"/>
          <w:sz w:val="22"/>
          <w:szCs w:val="22"/>
        </w:rPr>
      </w:pPr>
    </w:p>
    <w:p w:rsidR="000D3AC0" w:rsidRPr="00486F5F" w:rsidRDefault="000D3AC0" w:rsidP="00BA705B">
      <w:pPr>
        <w:pStyle w:val="Default"/>
        <w:tabs>
          <w:tab w:val="left" w:pos="567"/>
        </w:tabs>
        <w:rPr>
          <w:b/>
          <w:color w:val="auto"/>
          <w:sz w:val="22"/>
          <w:szCs w:val="22"/>
        </w:rPr>
      </w:pPr>
      <w:r w:rsidRPr="00486F5F">
        <w:rPr>
          <w:b/>
          <w:color w:val="auto"/>
          <w:sz w:val="22"/>
          <w:szCs w:val="22"/>
        </w:rPr>
        <w:t>Background</w:t>
      </w:r>
    </w:p>
    <w:p w:rsidR="000D3AC0" w:rsidRPr="00AE0F29" w:rsidRDefault="000D3AC0" w:rsidP="00BA705B">
      <w:pPr>
        <w:pStyle w:val="Default"/>
        <w:tabs>
          <w:tab w:val="left" w:pos="567"/>
        </w:tabs>
        <w:rPr>
          <w:b/>
          <w:color w:val="auto"/>
          <w:sz w:val="22"/>
          <w:szCs w:val="22"/>
        </w:rPr>
      </w:pPr>
    </w:p>
    <w:p w:rsidR="004061B2" w:rsidRPr="00DB4CA0" w:rsidRDefault="004061B2" w:rsidP="000D3AC0">
      <w:pPr>
        <w:pStyle w:val="Default"/>
        <w:numPr>
          <w:ilvl w:val="0"/>
          <w:numId w:val="11"/>
        </w:numPr>
        <w:tabs>
          <w:tab w:val="left" w:pos="567"/>
        </w:tabs>
        <w:rPr>
          <w:b/>
          <w:color w:val="auto"/>
          <w:sz w:val="22"/>
          <w:szCs w:val="22"/>
        </w:rPr>
      </w:pPr>
      <w:r>
        <w:rPr>
          <w:color w:val="auto"/>
          <w:sz w:val="22"/>
          <w:szCs w:val="22"/>
        </w:rPr>
        <w:t>Last year FSMC members agreed that our priorities for 2017-18 would cover:</w:t>
      </w:r>
    </w:p>
    <w:p w:rsidR="00DB4CA0" w:rsidRPr="004061B2" w:rsidRDefault="00DB4CA0" w:rsidP="00DB4CA0">
      <w:pPr>
        <w:pStyle w:val="Default"/>
        <w:tabs>
          <w:tab w:val="left" w:pos="567"/>
        </w:tabs>
        <w:ind w:left="360"/>
        <w:rPr>
          <w:b/>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 xml:space="preserve">Governance </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Transparency and standards</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 xml:space="preserve">Workforce </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Collaboration</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 xml:space="preserve">Procurement and value for money </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 xml:space="preserve">Funding </w:t>
      </w:r>
    </w:p>
    <w:p w:rsidR="00DB4CA0" w:rsidRDefault="00DB4CA0" w:rsidP="00DB4CA0">
      <w:pPr>
        <w:pStyle w:val="Default"/>
        <w:tabs>
          <w:tab w:val="left" w:pos="567"/>
        </w:tabs>
        <w:ind w:left="792"/>
        <w:rPr>
          <w:color w:val="auto"/>
          <w:sz w:val="22"/>
          <w:szCs w:val="22"/>
        </w:rPr>
      </w:pPr>
    </w:p>
    <w:p w:rsidR="004061B2" w:rsidRPr="004061B2" w:rsidRDefault="004061B2" w:rsidP="004061B2">
      <w:pPr>
        <w:pStyle w:val="Default"/>
        <w:numPr>
          <w:ilvl w:val="1"/>
          <w:numId w:val="11"/>
        </w:numPr>
        <w:tabs>
          <w:tab w:val="left" w:pos="567"/>
        </w:tabs>
        <w:rPr>
          <w:color w:val="auto"/>
          <w:sz w:val="22"/>
          <w:szCs w:val="22"/>
        </w:rPr>
      </w:pPr>
      <w:r w:rsidRPr="004061B2">
        <w:rPr>
          <w:color w:val="auto"/>
          <w:sz w:val="22"/>
          <w:szCs w:val="22"/>
        </w:rPr>
        <w:t>Grenfell tower</w:t>
      </w:r>
    </w:p>
    <w:p w:rsidR="004061B2" w:rsidRPr="004061B2" w:rsidRDefault="004061B2" w:rsidP="004061B2">
      <w:pPr>
        <w:pStyle w:val="Default"/>
        <w:tabs>
          <w:tab w:val="left" w:pos="567"/>
        </w:tabs>
        <w:ind w:left="360"/>
        <w:rPr>
          <w:b/>
          <w:color w:val="auto"/>
          <w:sz w:val="22"/>
          <w:szCs w:val="22"/>
        </w:rPr>
      </w:pPr>
    </w:p>
    <w:p w:rsidR="000D3AC0" w:rsidRPr="007D4B81" w:rsidRDefault="007D4B81" w:rsidP="004061B2">
      <w:pPr>
        <w:pStyle w:val="Default"/>
        <w:numPr>
          <w:ilvl w:val="0"/>
          <w:numId w:val="11"/>
        </w:numPr>
        <w:tabs>
          <w:tab w:val="left" w:pos="567"/>
        </w:tabs>
        <w:rPr>
          <w:b/>
          <w:color w:val="auto"/>
          <w:sz w:val="22"/>
          <w:szCs w:val="22"/>
        </w:rPr>
      </w:pPr>
      <w:r>
        <w:rPr>
          <w:color w:val="auto"/>
          <w:sz w:val="22"/>
          <w:szCs w:val="22"/>
        </w:rPr>
        <w:t>The priorities also</w:t>
      </w:r>
      <w:r w:rsidR="004061B2">
        <w:rPr>
          <w:color w:val="auto"/>
          <w:sz w:val="22"/>
          <w:szCs w:val="22"/>
        </w:rPr>
        <w:t xml:space="preserve"> incorporated work that the LGA Leadership Board asked the Boards to undertake based on the o</w:t>
      </w:r>
      <w:r w:rsidR="007E6A85">
        <w:rPr>
          <w:color w:val="auto"/>
          <w:sz w:val="22"/>
          <w:szCs w:val="22"/>
        </w:rPr>
        <w:t xml:space="preserve">verall priorities of the </w:t>
      </w:r>
      <w:proofErr w:type="spellStart"/>
      <w:r w:rsidR="007E6A85">
        <w:rPr>
          <w:color w:val="auto"/>
          <w:sz w:val="22"/>
          <w:szCs w:val="22"/>
        </w:rPr>
        <w:t>organis</w:t>
      </w:r>
      <w:r w:rsidR="004061B2">
        <w:rPr>
          <w:color w:val="auto"/>
          <w:sz w:val="22"/>
          <w:szCs w:val="22"/>
        </w:rPr>
        <w:t>ation</w:t>
      </w:r>
      <w:proofErr w:type="spellEnd"/>
      <w:r w:rsidR="004061B2">
        <w:rPr>
          <w:color w:val="auto"/>
          <w:sz w:val="22"/>
          <w:szCs w:val="22"/>
        </w:rPr>
        <w:t xml:space="preserve">. The priorities were first discussed in June 2017 before being agreed at the September 2017 meeting. </w:t>
      </w:r>
    </w:p>
    <w:p w:rsidR="007D4B81" w:rsidRPr="007D4B81" w:rsidRDefault="007D4B81" w:rsidP="007D4B81">
      <w:pPr>
        <w:pStyle w:val="Default"/>
        <w:tabs>
          <w:tab w:val="left" w:pos="567"/>
        </w:tabs>
        <w:ind w:left="360"/>
        <w:rPr>
          <w:color w:val="auto"/>
          <w:sz w:val="22"/>
          <w:szCs w:val="22"/>
        </w:rPr>
      </w:pPr>
    </w:p>
    <w:p w:rsidR="00933A50" w:rsidRDefault="001911BB" w:rsidP="00782D8E">
      <w:pPr>
        <w:pStyle w:val="Default"/>
        <w:numPr>
          <w:ilvl w:val="0"/>
          <w:numId w:val="11"/>
        </w:numPr>
        <w:tabs>
          <w:tab w:val="left" w:pos="567"/>
        </w:tabs>
        <w:rPr>
          <w:color w:val="auto"/>
          <w:sz w:val="22"/>
          <w:szCs w:val="22"/>
        </w:rPr>
      </w:pPr>
      <w:r>
        <w:rPr>
          <w:color w:val="auto"/>
          <w:sz w:val="22"/>
          <w:szCs w:val="22"/>
        </w:rPr>
        <w:t>This paper provides an outline of the work that has been undertaken over the last year as we</w:t>
      </w:r>
      <w:r w:rsidR="007E6A85">
        <w:rPr>
          <w:color w:val="auto"/>
          <w:sz w:val="22"/>
          <w:szCs w:val="22"/>
        </w:rPr>
        <w:t xml:space="preserve">ll as looking at potential priorities </w:t>
      </w:r>
      <w:r>
        <w:rPr>
          <w:color w:val="auto"/>
          <w:sz w:val="22"/>
          <w:szCs w:val="22"/>
        </w:rPr>
        <w:t xml:space="preserve">for the next year. </w:t>
      </w:r>
      <w:r w:rsidR="007D4B81" w:rsidRPr="007D4B81">
        <w:rPr>
          <w:color w:val="auto"/>
          <w:sz w:val="22"/>
          <w:szCs w:val="22"/>
        </w:rPr>
        <w:t xml:space="preserve">It is expected that the priorities for the forthcoming political year will remain </w:t>
      </w:r>
      <w:r w:rsidR="007D4B81">
        <w:rPr>
          <w:color w:val="auto"/>
          <w:sz w:val="22"/>
          <w:szCs w:val="22"/>
        </w:rPr>
        <w:t xml:space="preserve">broadly similar subject to </w:t>
      </w:r>
      <w:r w:rsidR="0073071C">
        <w:rPr>
          <w:color w:val="auto"/>
          <w:sz w:val="22"/>
          <w:szCs w:val="22"/>
        </w:rPr>
        <w:t>m</w:t>
      </w:r>
      <w:r w:rsidR="007D4B81">
        <w:rPr>
          <w:color w:val="auto"/>
          <w:sz w:val="22"/>
          <w:szCs w:val="22"/>
        </w:rPr>
        <w:t>ember’s views.</w:t>
      </w:r>
    </w:p>
    <w:p w:rsidR="00933A50" w:rsidRDefault="00933A50" w:rsidP="00933A50">
      <w:pPr>
        <w:pStyle w:val="ListParagraph"/>
        <w:rPr>
          <w:b/>
          <w:szCs w:val="22"/>
        </w:rPr>
      </w:pPr>
    </w:p>
    <w:p w:rsidR="00933A50" w:rsidRDefault="007D4B81" w:rsidP="00933A50">
      <w:pPr>
        <w:pStyle w:val="Default"/>
        <w:tabs>
          <w:tab w:val="left" w:pos="567"/>
        </w:tabs>
        <w:rPr>
          <w:color w:val="auto"/>
          <w:sz w:val="22"/>
          <w:szCs w:val="22"/>
        </w:rPr>
      </w:pPr>
      <w:r w:rsidRPr="00933A50">
        <w:rPr>
          <w:b/>
          <w:color w:val="auto"/>
          <w:sz w:val="22"/>
          <w:szCs w:val="22"/>
        </w:rPr>
        <w:t>Achievements for 2017-18</w:t>
      </w:r>
    </w:p>
    <w:p w:rsidR="00DB4CA0" w:rsidRDefault="00DB4CA0" w:rsidP="00DB4CA0">
      <w:pPr>
        <w:pStyle w:val="Default"/>
        <w:tabs>
          <w:tab w:val="left" w:pos="284"/>
        </w:tabs>
        <w:rPr>
          <w:rFonts w:ascii="Frutiger 45 Light" w:hAnsi="Frutiger 45 Light" w:cs="Times New Roman"/>
          <w:b/>
          <w:color w:val="auto"/>
          <w:sz w:val="22"/>
          <w:szCs w:val="22"/>
          <w:lang w:val="en-GB" w:eastAsia="en-GB"/>
        </w:rPr>
      </w:pPr>
    </w:p>
    <w:p w:rsidR="00921D28" w:rsidRPr="00933A50" w:rsidRDefault="00921D28" w:rsidP="00DB4CA0">
      <w:pPr>
        <w:pStyle w:val="Default"/>
        <w:tabs>
          <w:tab w:val="left" w:pos="284"/>
        </w:tabs>
        <w:rPr>
          <w:color w:val="auto"/>
          <w:sz w:val="22"/>
          <w:szCs w:val="22"/>
        </w:rPr>
      </w:pPr>
      <w:r w:rsidRPr="00933A50">
        <w:rPr>
          <w:b/>
          <w:sz w:val="22"/>
          <w:szCs w:val="22"/>
        </w:rPr>
        <w:t xml:space="preserve">Governance </w:t>
      </w:r>
    </w:p>
    <w:p w:rsidR="00921D28" w:rsidRDefault="00921D28" w:rsidP="00921D28">
      <w:pPr>
        <w:pStyle w:val="ListParagraph"/>
        <w:rPr>
          <w:szCs w:val="22"/>
        </w:rPr>
      </w:pPr>
    </w:p>
    <w:p w:rsidR="00DB4CA0" w:rsidRPr="00DB4CA0" w:rsidRDefault="005A37DC" w:rsidP="00DB4CA0">
      <w:pPr>
        <w:pStyle w:val="Default"/>
        <w:numPr>
          <w:ilvl w:val="0"/>
          <w:numId w:val="11"/>
        </w:numPr>
        <w:tabs>
          <w:tab w:val="left" w:pos="567"/>
        </w:tabs>
        <w:rPr>
          <w:rStyle w:val="ReportTemplate"/>
          <w:color w:val="auto"/>
          <w:sz w:val="22"/>
          <w:szCs w:val="22"/>
        </w:rPr>
      </w:pPr>
      <w:r w:rsidRPr="00933A50">
        <w:rPr>
          <w:sz w:val="22"/>
          <w:szCs w:val="22"/>
        </w:rPr>
        <w:t xml:space="preserve">We have </w:t>
      </w:r>
      <w:r w:rsidR="0073071C">
        <w:rPr>
          <w:sz w:val="22"/>
          <w:szCs w:val="22"/>
        </w:rPr>
        <w:t>provided support to</w:t>
      </w:r>
      <w:r w:rsidRPr="00933A50">
        <w:rPr>
          <w:sz w:val="22"/>
          <w:szCs w:val="22"/>
        </w:rPr>
        <w:t xml:space="preserve"> the f</w:t>
      </w:r>
      <w:r w:rsidRPr="00933A50">
        <w:rPr>
          <w:rStyle w:val="ReportTemplate"/>
          <w:sz w:val="22"/>
          <w:szCs w:val="22"/>
        </w:rPr>
        <w:t>our fire and rescue services that are affected by</w:t>
      </w:r>
      <w:r w:rsidR="005C0B80">
        <w:rPr>
          <w:rStyle w:val="ReportTemplate"/>
          <w:sz w:val="22"/>
          <w:szCs w:val="22"/>
        </w:rPr>
        <w:t xml:space="preserve"> the local</w:t>
      </w:r>
      <w:r w:rsidR="0073071C">
        <w:rPr>
          <w:rStyle w:val="ReportTemplate"/>
          <w:sz w:val="22"/>
          <w:szCs w:val="22"/>
        </w:rPr>
        <w:t>ly</w:t>
      </w:r>
      <w:r w:rsidR="005C0B80">
        <w:rPr>
          <w:rStyle w:val="ReportTemplate"/>
          <w:sz w:val="22"/>
          <w:szCs w:val="22"/>
        </w:rPr>
        <w:t xml:space="preserve"> contested plans of</w:t>
      </w:r>
      <w:r w:rsidRPr="00933A50">
        <w:rPr>
          <w:rStyle w:val="ReportTemplate"/>
          <w:sz w:val="22"/>
          <w:szCs w:val="22"/>
        </w:rPr>
        <w:t xml:space="preserve"> three PCC’s to take on the governance of fire and rescue services in their area.</w:t>
      </w:r>
    </w:p>
    <w:p w:rsidR="00DB4CA0" w:rsidRDefault="00DB4CA0" w:rsidP="00DB4CA0">
      <w:pPr>
        <w:pStyle w:val="Default"/>
        <w:tabs>
          <w:tab w:val="left" w:pos="567"/>
        </w:tabs>
        <w:ind w:left="360"/>
        <w:rPr>
          <w:rStyle w:val="ReportTemplate"/>
          <w:color w:val="auto"/>
          <w:sz w:val="22"/>
          <w:szCs w:val="22"/>
        </w:rPr>
      </w:pPr>
    </w:p>
    <w:p w:rsidR="00DB4CA0" w:rsidRPr="00DB4CA0" w:rsidRDefault="005A37DC" w:rsidP="00DB4CA0">
      <w:pPr>
        <w:pStyle w:val="Default"/>
        <w:numPr>
          <w:ilvl w:val="0"/>
          <w:numId w:val="11"/>
        </w:numPr>
        <w:tabs>
          <w:tab w:val="left" w:pos="567"/>
        </w:tabs>
        <w:rPr>
          <w:rStyle w:val="ReportTemplate"/>
          <w:color w:val="auto"/>
          <w:sz w:val="22"/>
          <w:szCs w:val="22"/>
        </w:rPr>
      </w:pPr>
      <w:r w:rsidRPr="00DB4CA0">
        <w:rPr>
          <w:rStyle w:val="ReportTemplate"/>
          <w:sz w:val="22"/>
          <w:szCs w:val="22"/>
        </w:rPr>
        <w:t>We provided input into the Home Office’s work on the Independent Assessment of PCCs business cases. We raised concerns about the potential for challenge if the decision was not made by a Panel with a range of expertise. We continued to raise concerns throughout the process.</w:t>
      </w:r>
    </w:p>
    <w:p w:rsidR="00DB4CA0" w:rsidRDefault="00DB4CA0" w:rsidP="00DB4CA0">
      <w:pPr>
        <w:pStyle w:val="Default"/>
        <w:tabs>
          <w:tab w:val="left" w:pos="567"/>
        </w:tabs>
        <w:rPr>
          <w:rStyle w:val="ReportTemplate"/>
          <w:color w:val="auto"/>
          <w:sz w:val="22"/>
          <w:szCs w:val="22"/>
        </w:rPr>
      </w:pPr>
    </w:p>
    <w:p w:rsidR="00933A50" w:rsidRPr="00DB4CA0" w:rsidRDefault="00F1685B" w:rsidP="00DB4CA0">
      <w:pPr>
        <w:pStyle w:val="Default"/>
        <w:numPr>
          <w:ilvl w:val="0"/>
          <w:numId w:val="11"/>
        </w:numPr>
        <w:tabs>
          <w:tab w:val="left" w:pos="567"/>
        </w:tabs>
        <w:rPr>
          <w:color w:val="auto"/>
          <w:sz w:val="22"/>
          <w:szCs w:val="22"/>
        </w:rPr>
      </w:pPr>
      <w:r w:rsidRPr="00DB4CA0">
        <w:rPr>
          <w:sz w:val="22"/>
          <w:szCs w:val="22"/>
        </w:rPr>
        <w:t>The FSMC and Safer and Stronger Communities Board</w:t>
      </w:r>
      <w:r w:rsidR="005A37DC" w:rsidRPr="00DB4CA0">
        <w:rPr>
          <w:sz w:val="22"/>
          <w:szCs w:val="22"/>
        </w:rPr>
        <w:t xml:space="preserve"> </w:t>
      </w:r>
      <w:r w:rsidR="00933A50" w:rsidRPr="00DB4CA0">
        <w:rPr>
          <w:sz w:val="22"/>
          <w:szCs w:val="22"/>
        </w:rPr>
        <w:t>published</w:t>
      </w:r>
      <w:r w:rsidR="005A37DC" w:rsidRPr="00DB4CA0">
        <w:rPr>
          <w:sz w:val="22"/>
          <w:szCs w:val="22"/>
        </w:rPr>
        <w:t xml:space="preserve"> a guide to the fire and rescue service for members of Police and Crime Panels.</w:t>
      </w:r>
      <w:r w:rsidR="00933A50" w:rsidRPr="00DB4CA0">
        <w:rPr>
          <w:sz w:val="22"/>
          <w:szCs w:val="22"/>
        </w:rPr>
        <w:t xml:space="preserve"> This is available on the LGA’s </w:t>
      </w:r>
      <w:hyperlink r:id="rId14" w:history="1">
        <w:r w:rsidR="00933A50" w:rsidRPr="00DB4CA0">
          <w:rPr>
            <w:rStyle w:val="Hyperlink"/>
            <w:sz w:val="22"/>
            <w:szCs w:val="22"/>
          </w:rPr>
          <w:t>website</w:t>
        </w:r>
      </w:hyperlink>
      <w:r w:rsidR="00DB4CA0" w:rsidRPr="00DB4CA0">
        <w:rPr>
          <w:sz w:val="22"/>
          <w:szCs w:val="22"/>
        </w:rPr>
        <w:t>.</w:t>
      </w:r>
      <w:r w:rsidR="00933A50" w:rsidRPr="00DB4CA0">
        <w:rPr>
          <w:sz w:val="22"/>
          <w:szCs w:val="22"/>
        </w:rPr>
        <w:t xml:space="preserve"> </w:t>
      </w:r>
    </w:p>
    <w:p w:rsidR="00DB4CA0" w:rsidRDefault="00DB4CA0" w:rsidP="00DB4CA0">
      <w:pPr>
        <w:pStyle w:val="Default"/>
        <w:tabs>
          <w:tab w:val="left" w:pos="284"/>
        </w:tabs>
        <w:rPr>
          <w:rFonts w:ascii="Frutiger 45 Light" w:hAnsi="Frutiger 45 Light" w:cs="Times New Roman"/>
          <w:b/>
          <w:color w:val="auto"/>
          <w:sz w:val="22"/>
          <w:szCs w:val="22"/>
          <w:lang w:val="en-GB" w:eastAsia="en-GB"/>
        </w:rPr>
      </w:pPr>
    </w:p>
    <w:p w:rsidR="00DB4CA0" w:rsidRDefault="00DB4CA0" w:rsidP="00DB4CA0">
      <w:pPr>
        <w:pStyle w:val="Default"/>
        <w:tabs>
          <w:tab w:val="left" w:pos="284"/>
        </w:tabs>
        <w:rPr>
          <w:rFonts w:ascii="Frutiger 45 Light" w:hAnsi="Frutiger 45 Light" w:cs="Times New Roman"/>
          <w:b/>
          <w:color w:val="auto"/>
          <w:sz w:val="22"/>
          <w:szCs w:val="22"/>
          <w:lang w:val="en-GB" w:eastAsia="en-GB"/>
        </w:rPr>
      </w:pPr>
    </w:p>
    <w:p w:rsidR="00DB4CA0" w:rsidRDefault="00DB4CA0" w:rsidP="00DB4CA0">
      <w:pPr>
        <w:pStyle w:val="Default"/>
        <w:tabs>
          <w:tab w:val="left" w:pos="284"/>
        </w:tabs>
        <w:rPr>
          <w:rFonts w:ascii="Frutiger 45 Light" w:hAnsi="Frutiger 45 Light" w:cs="Times New Roman"/>
          <w:b/>
          <w:color w:val="auto"/>
          <w:sz w:val="22"/>
          <w:szCs w:val="22"/>
          <w:lang w:val="en-GB" w:eastAsia="en-GB"/>
        </w:rPr>
      </w:pPr>
    </w:p>
    <w:p w:rsidR="005713B9" w:rsidRPr="00DB4CA0" w:rsidRDefault="00AE0F29" w:rsidP="00DB4CA0">
      <w:pPr>
        <w:pStyle w:val="Default"/>
        <w:tabs>
          <w:tab w:val="left" w:pos="284"/>
        </w:tabs>
        <w:rPr>
          <w:b/>
          <w:sz w:val="22"/>
          <w:szCs w:val="22"/>
        </w:rPr>
      </w:pPr>
      <w:r w:rsidRPr="00DB4CA0">
        <w:rPr>
          <w:b/>
          <w:sz w:val="22"/>
          <w:szCs w:val="22"/>
        </w:rPr>
        <w:lastRenderedPageBreak/>
        <w:t>Transparency and standards</w:t>
      </w:r>
    </w:p>
    <w:p w:rsidR="00682ABF" w:rsidRPr="00682ABF" w:rsidRDefault="00682ABF" w:rsidP="00682ABF">
      <w:pPr>
        <w:suppressAutoHyphens w:val="0"/>
        <w:autoSpaceDN/>
        <w:textAlignment w:val="auto"/>
        <w:rPr>
          <w:rFonts w:ascii="Arial" w:hAnsi="Arial" w:cs="Arial"/>
          <w:b/>
          <w:szCs w:val="22"/>
        </w:rPr>
      </w:pPr>
    </w:p>
    <w:p w:rsidR="00DB4CA0" w:rsidRDefault="00890725"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We</w:t>
      </w:r>
      <w:r w:rsidR="005A37DC" w:rsidRPr="00DB4CA0">
        <w:rPr>
          <w:rFonts w:ascii="Arial" w:hAnsi="Arial" w:cs="Arial"/>
          <w:szCs w:val="22"/>
        </w:rPr>
        <w:t xml:space="preserve"> have worked with </w:t>
      </w:r>
      <w:r w:rsidRPr="00DB4CA0">
        <w:rPr>
          <w:rFonts w:ascii="Arial" w:hAnsi="Arial" w:cs="Arial"/>
          <w:szCs w:val="22"/>
        </w:rPr>
        <w:t>H</w:t>
      </w:r>
      <w:r w:rsidR="00207A8F" w:rsidRPr="00DB4CA0">
        <w:rPr>
          <w:rFonts w:ascii="Arial" w:hAnsi="Arial" w:cs="Arial"/>
          <w:szCs w:val="22"/>
        </w:rPr>
        <w:t xml:space="preserve">er </w:t>
      </w:r>
      <w:r w:rsidRPr="00DB4CA0">
        <w:rPr>
          <w:rFonts w:ascii="Arial" w:hAnsi="Arial" w:cs="Arial"/>
          <w:szCs w:val="22"/>
        </w:rPr>
        <w:t>M</w:t>
      </w:r>
      <w:r w:rsidR="00207A8F" w:rsidRPr="00DB4CA0">
        <w:rPr>
          <w:rFonts w:ascii="Arial" w:hAnsi="Arial" w:cs="Arial"/>
          <w:szCs w:val="22"/>
        </w:rPr>
        <w:t xml:space="preserve">ajesty’s </w:t>
      </w:r>
      <w:r w:rsidRPr="00DB4CA0">
        <w:rPr>
          <w:rFonts w:ascii="Arial" w:hAnsi="Arial" w:cs="Arial"/>
          <w:szCs w:val="22"/>
        </w:rPr>
        <w:t>I</w:t>
      </w:r>
      <w:r w:rsidR="00207A8F" w:rsidRPr="00DB4CA0">
        <w:rPr>
          <w:rFonts w:ascii="Arial" w:hAnsi="Arial" w:cs="Arial"/>
          <w:szCs w:val="22"/>
        </w:rPr>
        <w:t xml:space="preserve">nspectorate of </w:t>
      </w:r>
      <w:r w:rsidRPr="00DB4CA0">
        <w:rPr>
          <w:rFonts w:ascii="Arial" w:hAnsi="Arial" w:cs="Arial"/>
          <w:szCs w:val="22"/>
        </w:rPr>
        <w:t>C</w:t>
      </w:r>
      <w:r w:rsidR="00207A8F" w:rsidRPr="00DB4CA0">
        <w:rPr>
          <w:rFonts w:ascii="Arial" w:hAnsi="Arial" w:cs="Arial"/>
          <w:szCs w:val="22"/>
        </w:rPr>
        <w:t xml:space="preserve">onstabulary and </w:t>
      </w:r>
      <w:r w:rsidRPr="00DB4CA0">
        <w:rPr>
          <w:rFonts w:ascii="Arial" w:hAnsi="Arial" w:cs="Arial"/>
          <w:szCs w:val="22"/>
        </w:rPr>
        <w:t>F</w:t>
      </w:r>
      <w:r w:rsidR="00207A8F" w:rsidRPr="00DB4CA0">
        <w:rPr>
          <w:rFonts w:ascii="Arial" w:hAnsi="Arial" w:cs="Arial"/>
          <w:szCs w:val="22"/>
        </w:rPr>
        <w:t xml:space="preserve">ire and </w:t>
      </w:r>
      <w:r w:rsidRPr="00DB4CA0">
        <w:rPr>
          <w:rFonts w:ascii="Arial" w:hAnsi="Arial" w:cs="Arial"/>
          <w:szCs w:val="22"/>
        </w:rPr>
        <w:t>R</w:t>
      </w:r>
      <w:r w:rsidR="00207A8F" w:rsidRPr="00DB4CA0">
        <w:rPr>
          <w:rFonts w:ascii="Arial" w:hAnsi="Arial" w:cs="Arial"/>
          <w:szCs w:val="22"/>
        </w:rPr>
        <w:t xml:space="preserve">escue </w:t>
      </w:r>
      <w:r w:rsidRPr="00DB4CA0">
        <w:rPr>
          <w:rFonts w:ascii="Arial" w:hAnsi="Arial" w:cs="Arial"/>
          <w:szCs w:val="22"/>
        </w:rPr>
        <w:t>S</w:t>
      </w:r>
      <w:r w:rsidR="00207A8F" w:rsidRPr="00DB4CA0">
        <w:rPr>
          <w:rFonts w:ascii="Arial" w:hAnsi="Arial" w:cs="Arial"/>
          <w:szCs w:val="22"/>
        </w:rPr>
        <w:t>ervices</w:t>
      </w:r>
      <w:r w:rsidR="005D2BAE" w:rsidRPr="00DB4CA0">
        <w:rPr>
          <w:rFonts w:ascii="Arial" w:hAnsi="Arial" w:cs="Arial"/>
          <w:szCs w:val="22"/>
        </w:rPr>
        <w:t xml:space="preserve"> (HMICFRS)</w:t>
      </w:r>
      <w:r w:rsidRPr="00DB4CA0">
        <w:rPr>
          <w:rFonts w:ascii="Arial" w:hAnsi="Arial" w:cs="Arial"/>
          <w:szCs w:val="22"/>
        </w:rPr>
        <w:t xml:space="preserve"> on the introduction of </w:t>
      </w:r>
      <w:r w:rsidR="00207A8F" w:rsidRPr="00DB4CA0">
        <w:rPr>
          <w:rFonts w:ascii="Arial" w:hAnsi="Arial" w:cs="Arial"/>
          <w:szCs w:val="22"/>
        </w:rPr>
        <w:t xml:space="preserve">the </w:t>
      </w:r>
      <w:r w:rsidRPr="00DB4CA0">
        <w:rPr>
          <w:rFonts w:ascii="Arial" w:hAnsi="Arial" w:cs="Arial"/>
          <w:szCs w:val="22"/>
        </w:rPr>
        <w:t>new inspection regime</w:t>
      </w:r>
      <w:r w:rsidR="005A37DC" w:rsidRPr="00DB4CA0">
        <w:rPr>
          <w:rFonts w:ascii="Arial" w:hAnsi="Arial" w:cs="Arial"/>
          <w:szCs w:val="22"/>
        </w:rPr>
        <w:t xml:space="preserve"> through their External Reference Group</w:t>
      </w:r>
      <w:r w:rsidR="00207A8F" w:rsidRPr="00DB4CA0">
        <w:rPr>
          <w:rFonts w:ascii="Arial" w:hAnsi="Arial" w:cs="Arial"/>
          <w:szCs w:val="22"/>
        </w:rPr>
        <w:t>.</w:t>
      </w:r>
      <w:r w:rsidR="005A37DC" w:rsidRPr="00DB4CA0">
        <w:rPr>
          <w:rFonts w:ascii="Arial" w:hAnsi="Arial" w:cs="Arial"/>
          <w:szCs w:val="22"/>
        </w:rPr>
        <w:t xml:space="preserve"> We have also responded to </w:t>
      </w:r>
      <w:r w:rsidR="005D2BAE" w:rsidRPr="00DB4CA0">
        <w:rPr>
          <w:rFonts w:ascii="Arial" w:hAnsi="Arial" w:cs="Arial"/>
          <w:szCs w:val="22"/>
        </w:rPr>
        <w:t>HMICFRS’s</w:t>
      </w:r>
      <w:r w:rsidR="005A37DC" w:rsidRPr="00DB4CA0">
        <w:rPr>
          <w:rFonts w:ascii="Arial" w:hAnsi="Arial" w:cs="Arial"/>
          <w:szCs w:val="22"/>
        </w:rPr>
        <w:t xml:space="preserve"> consultation on the methodology framework. We have continued to raise concerns about the potential for the new inspection process to introduce new burdens for the fire and rescue service, particularly if the inspection covers areas that are not statutory duties</w:t>
      </w:r>
      <w:r w:rsidR="005C0B80" w:rsidRPr="00DB4CA0">
        <w:rPr>
          <w:rFonts w:ascii="Arial" w:hAnsi="Arial" w:cs="Arial"/>
          <w:szCs w:val="22"/>
        </w:rPr>
        <w:t>. There are also concerns about the burden on FRSs to meet the practical requirements for inspection.</w:t>
      </w:r>
      <w:r w:rsidR="005A37DC" w:rsidRPr="00DB4CA0">
        <w:rPr>
          <w:rFonts w:ascii="Arial" w:hAnsi="Arial" w:cs="Arial"/>
          <w:szCs w:val="22"/>
        </w:rPr>
        <w:t xml:space="preserve">  </w:t>
      </w:r>
      <w:r w:rsidRPr="00DB4CA0">
        <w:rPr>
          <w:rFonts w:ascii="Arial" w:hAnsi="Arial" w:cs="Arial"/>
          <w:szCs w:val="22"/>
        </w:rPr>
        <w:t xml:space="preserve"> </w:t>
      </w:r>
      <w:r w:rsidR="00AE0F29" w:rsidRPr="00DB4CA0">
        <w:rPr>
          <w:rFonts w:ascii="Arial" w:hAnsi="Arial" w:cs="Arial"/>
          <w:szCs w:val="22"/>
        </w:rPr>
        <w:t xml:space="preserve"> </w:t>
      </w:r>
    </w:p>
    <w:p w:rsidR="00DB4CA0" w:rsidRDefault="00782D8E"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 xml:space="preserve">The work on peer challenge is continuing, however the pace has slowed to match the introduction of the inspection process. We plan to hold a meeting with the peer challenge task and finish group shortly and will be inviting the HMICFRS pilots to the meeting as well.  </w:t>
      </w:r>
    </w:p>
    <w:p w:rsidR="00DB4CA0" w:rsidRDefault="00EE70B4"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Through our membership of the Fire Professional Standards Project Board, w</w:t>
      </w:r>
      <w:r w:rsidR="00EB4149" w:rsidRPr="00DB4CA0">
        <w:rPr>
          <w:rFonts w:ascii="Arial" w:hAnsi="Arial" w:cs="Arial"/>
          <w:szCs w:val="22"/>
        </w:rPr>
        <w:t>e have continued to raise concerns about the possibility of creating a new standalone standards body</w:t>
      </w:r>
      <w:r w:rsidR="001911BB" w:rsidRPr="00DB4CA0">
        <w:rPr>
          <w:rFonts w:ascii="Arial" w:hAnsi="Arial" w:cs="Arial"/>
          <w:szCs w:val="22"/>
        </w:rPr>
        <w:t xml:space="preserve"> on financial grounds for the sector and additional burdens</w:t>
      </w:r>
      <w:r w:rsidR="00EB4149" w:rsidRPr="00DB4CA0">
        <w:rPr>
          <w:rFonts w:ascii="Arial" w:hAnsi="Arial" w:cs="Arial"/>
          <w:szCs w:val="22"/>
        </w:rPr>
        <w:t xml:space="preserve">. This </w:t>
      </w:r>
      <w:r w:rsidR="00933A50" w:rsidRPr="00DB4CA0">
        <w:rPr>
          <w:rFonts w:ascii="Arial" w:hAnsi="Arial" w:cs="Arial"/>
          <w:szCs w:val="22"/>
        </w:rPr>
        <w:t>the Professional Standards Board</w:t>
      </w:r>
      <w:r w:rsidR="00EB4149" w:rsidRPr="00DB4CA0">
        <w:rPr>
          <w:rFonts w:ascii="Arial" w:hAnsi="Arial" w:cs="Arial"/>
          <w:szCs w:val="22"/>
        </w:rPr>
        <w:t xml:space="preserve"> will no longer be a standalone body but will instead be a part of the NFCC’s Central Programme Office. </w:t>
      </w:r>
    </w:p>
    <w:p w:rsidR="000A0C6B" w:rsidRPr="00DB4CA0" w:rsidRDefault="0073071C"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 xml:space="preserve">The LGA responded to the consultation on the </w:t>
      </w:r>
      <w:r w:rsidR="000A0C6B" w:rsidRPr="00DB4CA0">
        <w:rPr>
          <w:rFonts w:ascii="Arial" w:hAnsi="Arial" w:cs="Arial"/>
          <w:szCs w:val="22"/>
        </w:rPr>
        <w:t>National Fire Framework</w:t>
      </w:r>
      <w:r w:rsidR="00DA112D" w:rsidRPr="00DB4CA0">
        <w:rPr>
          <w:rFonts w:ascii="Arial" w:hAnsi="Arial" w:cs="Arial"/>
          <w:szCs w:val="22"/>
        </w:rPr>
        <w:t>. We wanted to ensure that the IRMP remained the basis for all fire and rescue activity and that the National Framework would continue to require it. We raised some concerns that there were some disparities in terms of the expectations on PCC style FRAs and other types of FRA. We also raised concerns about the resources and powers of Police and Crime Panels.</w:t>
      </w:r>
      <w:r w:rsidR="000A0C6B" w:rsidRPr="00DB4CA0">
        <w:rPr>
          <w:rFonts w:ascii="Arial" w:hAnsi="Arial" w:cs="Arial"/>
          <w:szCs w:val="22"/>
        </w:rPr>
        <w:t xml:space="preserve"> </w:t>
      </w:r>
    </w:p>
    <w:p w:rsidR="00DB4CA0" w:rsidRDefault="00AE0F29" w:rsidP="00DB4CA0">
      <w:pPr>
        <w:suppressAutoHyphens w:val="0"/>
        <w:autoSpaceDN/>
        <w:spacing w:after="240"/>
        <w:textAlignment w:val="auto"/>
        <w:rPr>
          <w:rFonts w:ascii="Arial" w:hAnsi="Arial" w:cs="Arial"/>
          <w:szCs w:val="22"/>
        </w:rPr>
      </w:pPr>
      <w:r w:rsidRPr="00DB4CA0">
        <w:rPr>
          <w:rFonts w:ascii="Arial" w:hAnsi="Arial" w:cs="Arial"/>
          <w:b/>
          <w:szCs w:val="22"/>
        </w:rPr>
        <w:t>Workforce</w:t>
      </w:r>
      <w:r w:rsidR="00890725" w:rsidRPr="00DB4CA0">
        <w:rPr>
          <w:rFonts w:ascii="Arial" w:hAnsi="Arial" w:cs="Arial"/>
          <w:szCs w:val="22"/>
        </w:rPr>
        <w:t xml:space="preserve"> </w:t>
      </w:r>
    </w:p>
    <w:p w:rsidR="00DB4CA0" w:rsidRDefault="00890725"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 xml:space="preserve">The LGA </w:t>
      </w:r>
      <w:r w:rsidR="00F9416D" w:rsidRPr="00DB4CA0">
        <w:rPr>
          <w:rFonts w:ascii="Arial" w:hAnsi="Arial" w:cs="Arial"/>
          <w:szCs w:val="22"/>
        </w:rPr>
        <w:t>prom</w:t>
      </w:r>
      <w:r w:rsidR="003369AB" w:rsidRPr="00DB4CA0">
        <w:rPr>
          <w:rFonts w:ascii="Arial" w:hAnsi="Arial" w:cs="Arial"/>
          <w:szCs w:val="22"/>
        </w:rPr>
        <w:t>oted the M</w:t>
      </w:r>
      <w:r w:rsidR="009E2901" w:rsidRPr="00DB4CA0">
        <w:rPr>
          <w:rFonts w:ascii="Arial" w:hAnsi="Arial" w:cs="Arial"/>
          <w:szCs w:val="22"/>
        </w:rPr>
        <w:t xml:space="preserve">emorandum </w:t>
      </w:r>
      <w:r w:rsidR="003369AB" w:rsidRPr="00DB4CA0">
        <w:rPr>
          <w:rFonts w:ascii="Arial" w:hAnsi="Arial" w:cs="Arial"/>
          <w:szCs w:val="22"/>
        </w:rPr>
        <w:t>o</w:t>
      </w:r>
      <w:r w:rsidR="009E2901" w:rsidRPr="00DB4CA0">
        <w:rPr>
          <w:rFonts w:ascii="Arial" w:hAnsi="Arial" w:cs="Arial"/>
          <w:szCs w:val="22"/>
        </w:rPr>
        <w:t xml:space="preserve">f </w:t>
      </w:r>
      <w:r w:rsidR="003369AB" w:rsidRPr="00DB4CA0">
        <w:rPr>
          <w:rFonts w:ascii="Arial" w:hAnsi="Arial" w:cs="Arial"/>
          <w:szCs w:val="22"/>
        </w:rPr>
        <w:t>U</w:t>
      </w:r>
      <w:r w:rsidR="009E2901" w:rsidRPr="00DB4CA0">
        <w:rPr>
          <w:rFonts w:ascii="Arial" w:hAnsi="Arial" w:cs="Arial"/>
          <w:szCs w:val="22"/>
        </w:rPr>
        <w:t>nderstanding (MoU)</w:t>
      </w:r>
      <w:r w:rsidR="003369AB" w:rsidRPr="00DB4CA0">
        <w:rPr>
          <w:rFonts w:ascii="Arial" w:hAnsi="Arial" w:cs="Arial"/>
          <w:szCs w:val="22"/>
        </w:rPr>
        <w:t xml:space="preserve"> signed last year</w:t>
      </w:r>
      <w:r w:rsidR="00EB4149" w:rsidRPr="00DB4CA0">
        <w:rPr>
          <w:rFonts w:ascii="Arial" w:hAnsi="Arial" w:cs="Arial"/>
          <w:szCs w:val="22"/>
        </w:rPr>
        <w:t xml:space="preserve"> through the inclusive fire service document for the 2017 Fire Conference as well as the case studies on inclusion and recruitment we published for the 2018 Fire Conference. </w:t>
      </w:r>
    </w:p>
    <w:p w:rsidR="00DB4CA0" w:rsidRDefault="005D2BAE"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In April w</w:t>
      </w:r>
      <w:r w:rsidR="003369AB" w:rsidRPr="00DB4CA0">
        <w:rPr>
          <w:rFonts w:ascii="Arial" w:hAnsi="Arial" w:cs="Arial"/>
          <w:szCs w:val="22"/>
        </w:rPr>
        <w:t>e ran a summit with the signatories of the MoU to</w:t>
      </w:r>
      <w:r w:rsidRPr="00DB4CA0">
        <w:rPr>
          <w:rFonts w:ascii="Arial" w:hAnsi="Arial" w:cs="Arial"/>
          <w:szCs w:val="22"/>
        </w:rPr>
        <w:t xml:space="preserve"> discuss how the MoU is being embedded and to</w:t>
      </w:r>
      <w:r w:rsidR="003369AB" w:rsidRPr="00DB4CA0">
        <w:rPr>
          <w:rFonts w:ascii="Arial" w:hAnsi="Arial" w:cs="Arial"/>
          <w:szCs w:val="22"/>
        </w:rPr>
        <w:t xml:space="preserve"> inform our work on this issue</w:t>
      </w:r>
      <w:r w:rsidRPr="00DB4CA0">
        <w:rPr>
          <w:rFonts w:ascii="Arial" w:hAnsi="Arial" w:cs="Arial"/>
          <w:szCs w:val="22"/>
        </w:rPr>
        <w:t>.</w:t>
      </w:r>
      <w:r w:rsidR="00933A50" w:rsidRPr="00DB4CA0">
        <w:rPr>
          <w:rFonts w:ascii="Arial" w:hAnsi="Arial" w:cs="Arial"/>
          <w:szCs w:val="22"/>
        </w:rPr>
        <w:t xml:space="preserve"> This informed a report that went to the Fire Commission in May which outlined further work on this is</w:t>
      </w:r>
      <w:r w:rsidR="00DB4CA0">
        <w:rPr>
          <w:rFonts w:ascii="Arial" w:hAnsi="Arial" w:cs="Arial"/>
          <w:szCs w:val="22"/>
        </w:rPr>
        <w:t>sue for the next political year.</w:t>
      </w:r>
    </w:p>
    <w:p w:rsidR="00AE0F29" w:rsidRPr="00DB4CA0" w:rsidRDefault="00EB4149"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 xml:space="preserve">Inclusion and diversity is now a part of </w:t>
      </w:r>
      <w:r w:rsidR="00A07591" w:rsidRPr="00DB4CA0">
        <w:rPr>
          <w:rFonts w:ascii="Arial" w:hAnsi="Arial" w:cs="Arial"/>
          <w:szCs w:val="22"/>
        </w:rPr>
        <w:t>our two</w:t>
      </w:r>
      <w:r w:rsidRPr="00DB4CA0">
        <w:rPr>
          <w:rFonts w:ascii="Arial" w:hAnsi="Arial" w:cs="Arial"/>
          <w:szCs w:val="22"/>
        </w:rPr>
        <w:t xml:space="preserve"> Fire Leadership Es</w:t>
      </w:r>
      <w:r w:rsidR="00A07591" w:rsidRPr="00DB4CA0">
        <w:rPr>
          <w:rFonts w:ascii="Arial" w:hAnsi="Arial" w:cs="Arial"/>
          <w:szCs w:val="22"/>
        </w:rPr>
        <w:t>sentials programmes</w:t>
      </w:r>
      <w:r w:rsidRPr="00DB4CA0">
        <w:rPr>
          <w:rFonts w:ascii="Arial" w:hAnsi="Arial" w:cs="Arial"/>
          <w:szCs w:val="22"/>
        </w:rPr>
        <w:t xml:space="preserve">. Both the sessions on these issues have been very well received at the leadership programmes. We also ran a Masterclass on inclusion and Diversity in September 2017. </w:t>
      </w:r>
      <w:r w:rsidR="00DA112D" w:rsidRPr="00DB4CA0">
        <w:rPr>
          <w:rFonts w:ascii="Arial" w:hAnsi="Arial" w:cs="Arial"/>
          <w:szCs w:val="22"/>
        </w:rPr>
        <w:t>We plan to do further leadership style events on inclusion and diversity next year as well as continuing to provide two leadership essential courses.</w:t>
      </w:r>
    </w:p>
    <w:p w:rsidR="0019546C" w:rsidRPr="00DB4CA0" w:rsidRDefault="00AE0F29" w:rsidP="00DB4CA0">
      <w:pPr>
        <w:suppressAutoHyphens w:val="0"/>
        <w:autoSpaceDN/>
        <w:spacing w:after="240"/>
        <w:textAlignment w:val="auto"/>
        <w:rPr>
          <w:rFonts w:ascii="Arial" w:hAnsi="Arial" w:cs="Arial"/>
          <w:szCs w:val="22"/>
        </w:rPr>
      </w:pPr>
      <w:r w:rsidRPr="00DB4CA0">
        <w:rPr>
          <w:rFonts w:ascii="Arial" w:hAnsi="Arial" w:cs="Arial"/>
          <w:b/>
          <w:szCs w:val="22"/>
        </w:rPr>
        <w:t>Collaboration</w:t>
      </w:r>
    </w:p>
    <w:p w:rsidR="00DB4CA0" w:rsidRDefault="00AF0335" w:rsidP="00DB4CA0">
      <w:pPr>
        <w:pStyle w:val="ListParagraph"/>
        <w:numPr>
          <w:ilvl w:val="0"/>
          <w:numId w:val="11"/>
        </w:numPr>
        <w:tabs>
          <w:tab w:val="left" w:pos="851"/>
        </w:tabs>
        <w:suppressAutoHyphens w:val="0"/>
        <w:autoSpaceDN/>
        <w:spacing w:after="240"/>
        <w:textAlignment w:val="auto"/>
        <w:rPr>
          <w:rFonts w:ascii="Arial" w:hAnsi="Arial" w:cs="Arial"/>
          <w:szCs w:val="22"/>
        </w:rPr>
      </w:pPr>
      <w:r w:rsidRPr="00DB4CA0">
        <w:rPr>
          <w:rFonts w:ascii="Arial" w:hAnsi="Arial" w:cs="Arial"/>
          <w:szCs w:val="22"/>
        </w:rPr>
        <w:t>We held a number of session</w:t>
      </w:r>
      <w:r w:rsidR="00A07591" w:rsidRPr="00DB4CA0">
        <w:rPr>
          <w:rFonts w:ascii="Arial" w:hAnsi="Arial" w:cs="Arial"/>
          <w:szCs w:val="22"/>
        </w:rPr>
        <w:t>s</w:t>
      </w:r>
      <w:r w:rsidRPr="00DB4CA0">
        <w:rPr>
          <w:rFonts w:ascii="Arial" w:hAnsi="Arial" w:cs="Arial"/>
          <w:szCs w:val="22"/>
        </w:rPr>
        <w:t xml:space="preserve"> on collaboration at the Fire Conference in March having opened up the workshops for bidding from fire and rescue services.</w:t>
      </w:r>
      <w:r w:rsidR="00A07591" w:rsidRPr="00DB4CA0">
        <w:rPr>
          <w:rFonts w:ascii="Arial" w:hAnsi="Arial" w:cs="Arial"/>
          <w:szCs w:val="22"/>
        </w:rPr>
        <w:t xml:space="preserve"> We had sessions on </w:t>
      </w:r>
      <w:r w:rsidR="00A07591" w:rsidRPr="00DB4CA0">
        <w:rPr>
          <w:rFonts w:ascii="Arial" w:hAnsi="Arial" w:cs="Arial"/>
          <w:szCs w:val="22"/>
        </w:rPr>
        <w:lastRenderedPageBreak/>
        <w:t xml:space="preserve">collaboration with the Unions, on procurement with the police and more generally on the legal implications on collaboration. </w:t>
      </w:r>
      <w:r w:rsidRPr="00DB4CA0">
        <w:rPr>
          <w:rFonts w:ascii="Arial" w:hAnsi="Arial" w:cs="Arial"/>
          <w:szCs w:val="22"/>
        </w:rPr>
        <w:t xml:space="preserve"> </w:t>
      </w:r>
    </w:p>
    <w:p w:rsidR="00AE0F29" w:rsidRPr="00DB4CA0" w:rsidRDefault="00F9416D" w:rsidP="00DB4CA0">
      <w:pPr>
        <w:pStyle w:val="ListParagraph"/>
        <w:numPr>
          <w:ilvl w:val="0"/>
          <w:numId w:val="11"/>
        </w:numPr>
        <w:tabs>
          <w:tab w:val="left" w:pos="851"/>
        </w:tabs>
        <w:suppressAutoHyphens w:val="0"/>
        <w:autoSpaceDN/>
        <w:spacing w:after="240"/>
        <w:textAlignment w:val="auto"/>
        <w:rPr>
          <w:rFonts w:ascii="Arial" w:hAnsi="Arial" w:cs="Arial"/>
          <w:szCs w:val="22"/>
        </w:rPr>
      </w:pPr>
      <w:r w:rsidRPr="00DB4CA0">
        <w:rPr>
          <w:rFonts w:ascii="Arial" w:hAnsi="Arial" w:cs="Arial"/>
          <w:szCs w:val="22"/>
        </w:rPr>
        <w:t xml:space="preserve">We have continued to support </w:t>
      </w:r>
      <w:r w:rsidR="005D2BAE" w:rsidRPr="00DB4CA0">
        <w:rPr>
          <w:rFonts w:ascii="Arial" w:hAnsi="Arial" w:cs="Arial"/>
          <w:szCs w:val="22"/>
        </w:rPr>
        <w:t xml:space="preserve">and contribute to </w:t>
      </w:r>
      <w:r w:rsidRPr="00DB4CA0">
        <w:rPr>
          <w:rFonts w:ascii="Arial" w:hAnsi="Arial" w:cs="Arial"/>
          <w:szCs w:val="22"/>
        </w:rPr>
        <w:t>the fire/health coordination committee</w:t>
      </w:r>
      <w:r w:rsidR="005D2BAE" w:rsidRPr="00DB4CA0">
        <w:rPr>
          <w:rFonts w:ascii="Arial" w:hAnsi="Arial" w:cs="Arial"/>
          <w:szCs w:val="22"/>
        </w:rPr>
        <w:t>.</w:t>
      </w:r>
      <w:r w:rsidRPr="00DB4CA0">
        <w:rPr>
          <w:rFonts w:ascii="Arial" w:hAnsi="Arial" w:cs="Arial"/>
          <w:szCs w:val="22"/>
        </w:rPr>
        <w:t xml:space="preserve"> </w:t>
      </w:r>
    </w:p>
    <w:p w:rsidR="00682ABF" w:rsidRPr="00DB4CA0" w:rsidRDefault="00AE0F29" w:rsidP="00DB4CA0">
      <w:pPr>
        <w:suppressAutoHyphens w:val="0"/>
        <w:autoSpaceDN/>
        <w:spacing w:after="240"/>
        <w:textAlignment w:val="auto"/>
        <w:rPr>
          <w:rFonts w:ascii="Arial" w:hAnsi="Arial" w:cs="Arial"/>
          <w:szCs w:val="22"/>
        </w:rPr>
      </w:pPr>
      <w:r w:rsidRPr="00DB4CA0">
        <w:rPr>
          <w:rFonts w:ascii="Arial" w:hAnsi="Arial" w:cs="Arial"/>
          <w:b/>
          <w:szCs w:val="22"/>
        </w:rPr>
        <w:t>Procurement and value for money</w:t>
      </w:r>
      <w:r w:rsidRPr="00DB4CA0">
        <w:rPr>
          <w:rFonts w:ascii="Arial" w:hAnsi="Arial" w:cs="Arial"/>
          <w:szCs w:val="22"/>
        </w:rPr>
        <w:t xml:space="preserve"> </w:t>
      </w:r>
    </w:p>
    <w:p w:rsidR="00F9416D" w:rsidRPr="00DB4CA0" w:rsidRDefault="00682ABF"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T</w:t>
      </w:r>
      <w:r w:rsidR="00AE0F29" w:rsidRPr="00DB4CA0">
        <w:rPr>
          <w:rFonts w:ascii="Arial" w:hAnsi="Arial" w:cs="Arial"/>
          <w:szCs w:val="22"/>
        </w:rPr>
        <w:t xml:space="preserve">he National Fire Chiefs Council </w:t>
      </w:r>
      <w:r w:rsidR="005D2BAE" w:rsidRPr="00DB4CA0">
        <w:rPr>
          <w:rFonts w:ascii="Arial" w:hAnsi="Arial" w:cs="Arial"/>
          <w:szCs w:val="22"/>
        </w:rPr>
        <w:t xml:space="preserve">(NFCC) </w:t>
      </w:r>
      <w:r w:rsidR="00F9416D" w:rsidRPr="00DB4CA0">
        <w:rPr>
          <w:rFonts w:ascii="Arial" w:hAnsi="Arial" w:cs="Arial"/>
          <w:szCs w:val="22"/>
        </w:rPr>
        <w:t>have been continuing to lead this agenda. The LGA have been playing a supporting role and the NFCC are happy to lead this agenda</w:t>
      </w:r>
      <w:r w:rsidR="00EE70B4" w:rsidRPr="00DB4CA0">
        <w:rPr>
          <w:rFonts w:ascii="Arial" w:hAnsi="Arial" w:cs="Arial"/>
          <w:szCs w:val="22"/>
        </w:rPr>
        <w:t>, a position we have checked with them</w:t>
      </w:r>
      <w:r w:rsidR="00F9416D" w:rsidRPr="00DB4CA0">
        <w:rPr>
          <w:rFonts w:ascii="Arial" w:hAnsi="Arial" w:cs="Arial"/>
          <w:szCs w:val="22"/>
        </w:rPr>
        <w:t>.</w:t>
      </w:r>
    </w:p>
    <w:p w:rsidR="00682ABF" w:rsidRPr="00DB4CA0" w:rsidRDefault="00AE0F29" w:rsidP="00DB4CA0">
      <w:pPr>
        <w:suppressAutoHyphens w:val="0"/>
        <w:autoSpaceDN/>
        <w:spacing w:after="240"/>
        <w:textAlignment w:val="auto"/>
        <w:rPr>
          <w:rFonts w:ascii="Arial" w:hAnsi="Arial" w:cs="Arial"/>
          <w:szCs w:val="22"/>
        </w:rPr>
      </w:pPr>
      <w:r w:rsidRPr="00DB4CA0">
        <w:rPr>
          <w:rFonts w:ascii="Arial" w:hAnsi="Arial" w:cs="Arial"/>
          <w:b/>
          <w:szCs w:val="22"/>
        </w:rPr>
        <w:t>Funding</w:t>
      </w:r>
      <w:r w:rsidRPr="00DB4CA0">
        <w:rPr>
          <w:rFonts w:ascii="Arial" w:hAnsi="Arial" w:cs="Arial"/>
          <w:szCs w:val="22"/>
        </w:rPr>
        <w:t xml:space="preserve"> </w:t>
      </w:r>
    </w:p>
    <w:p w:rsidR="00AF0335" w:rsidRPr="00DB4CA0" w:rsidRDefault="00AF0335" w:rsidP="00DB4CA0">
      <w:pPr>
        <w:pStyle w:val="ListParagraph"/>
        <w:numPr>
          <w:ilvl w:val="0"/>
          <w:numId w:val="11"/>
        </w:numPr>
        <w:suppressAutoHyphens w:val="0"/>
        <w:autoSpaceDN/>
        <w:spacing w:after="240"/>
        <w:textAlignment w:val="auto"/>
        <w:rPr>
          <w:rFonts w:ascii="Arial" w:hAnsi="Arial" w:cs="Arial"/>
          <w:szCs w:val="22"/>
        </w:rPr>
      </w:pPr>
      <w:r w:rsidRPr="00DB4CA0">
        <w:rPr>
          <w:rFonts w:ascii="Arial" w:hAnsi="Arial" w:cs="Arial"/>
          <w:szCs w:val="22"/>
        </w:rPr>
        <w:t>The LGA made a number of requests for further funding for the fire and rescue service to cover the cost of a pay increase for firefighters to help increase collab</w:t>
      </w:r>
      <w:r w:rsidR="005D2BAE" w:rsidRPr="00DB4CA0">
        <w:rPr>
          <w:rFonts w:ascii="Arial" w:hAnsi="Arial" w:cs="Arial"/>
          <w:szCs w:val="22"/>
        </w:rPr>
        <w:t>oration</w:t>
      </w:r>
      <w:r w:rsidRPr="00DB4CA0">
        <w:rPr>
          <w:rFonts w:ascii="Arial" w:hAnsi="Arial" w:cs="Arial"/>
          <w:szCs w:val="22"/>
        </w:rPr>
        <w:t>.</w:t>
      </w:r>
      <w:r w:rsidR="005D2BAE" w:rsidRPr="00DB4CA0">
        <w:rPr>
          <w:rFonts w:ascii="Arial" w:hAnsi="Arial" w:cs="Arial"/>
          <w:szCs w:val="22"/>
        </w:rPr>
        <w:t xml:space="preserve"> We highlighted the costs of further work coming out of the Grenfell fire to the sector and continue to undertake further work on this issue in partnership with the NFCC</w:t>
      </w:r>
      <w:r w:rsidR="00933A50" w:rsidRPr="00DB4CA0">
        <w:rPr>
          <w:rFonts w:ascii="Arial" w:hAnsi="Arial" w:cs="Arial"/>
          <w:szCs w:val="22"/>
        </w:rPr>
        <w:t xml:space="preserve"> to provide an up to date figure o</w:t>
      </w:r>
      <w:r w:rsidR="000A0C6B" w:rsidRPr="00DB4CA0">
        <w:rPr>
          <w:rFonts w:ascii="Arial" w:hAnsi="Arial" w:cs="Arial"/>
          <w:szCs w:val="22"/>
        </w:rPr>
        <w:t>n</w:t>
      </w:r>
      <w:r w:rsidR="00933A50" w:rsidRPr="00DB4CA0">
        <w:rPr>
          <w:rFonts w:ascii="Arial" w:hAnsi="Arial" w:cs="Arial"/>
          <w:szCs w:val="22"/>
        </w:rPr>
        <w:t xml:space="preserve"> the one off and ongoing costs</w:t>
      </w:r>
      <w:r w:rsidR="000A0C6B" w:rsidRPr="00DB4CA0">
        <w:rPr>
          <w:rFonts w:ascii="Arial" w:hAnsi="Arial" w:cs="Arial"/>
          <w:szCs w:val="22"/>
        </w:rPr>
        <w:t xml:space="preserve"> as a result of the fire</w:t>
      </w:r>
      <w:r w:rsidR="005D2BAE" w:rsidRPr="00DB4CA0">
        <w:rPr>
          <w:rFonts w:ascii="Arial" w:hAnsi="Arial" w:cs="Arial"/>
          <w:szCs w:val="22"/>
        </w:rPr>
        <w:t xml:space="preserve">. </w:t>
      </w:r>
    </w:p>
    <w:p w:rsidR="005D2BAE" w:rsidRPr="00933A50" w:rsidRDefault="00AF0335" w:rsidP="00DB4CA0">
      <w:pPr>
        <w:pStyle w:val="ListParagraph"/>
        <w:numPr>
          <w:ilvl w:val="0"/>
          <w:numId w:val="11"/>
        </w:numPr>
        <w:suppressAutoHyphens w:val="0"/>
        <w:autoSpaceDN/>
        <w:spacing w:after="240"/>
        <w:textAlignment w:val="auto"/>
        <w:rPr>
          <w:rFonts w:ascii="Arial" w:hAnsi="Arial" w:cs="Arial"/>
          <w:szCs w:val="22"/>
        </w:rPr>
      </w:pPr>
      <w:r w:rsidRPr="00933A50">
        <w:rPr>
          <w:rFonts w:ascii="Arial" w:hAnsi="Arial" w:cs="Arial"/>
          <w:szCs w:val="22"/>
        </w:rPr>
        <w:t xml:space="preserve">Following discussions at the FSMC, the LGA will continue to lobby for funding based primarily on the basis of risk. </w:t>
      </w:r>
    </w:p>
    <w:p w:rsidR="00CA674A" w:rsidRDefault="005713B9" w:rsidP="00DB4CA0">
      <w:pPr>
        <w:pStyle w:val="Default"/>
        <w:tabs>
          <w:tab w:val="left" w:pos="567"/>
        </w:tabs>
        <w:rPr>
          <w:b/>
          <w:color w:val="auto"/>
          <w:sz w:val="22"/>
          <w:szCs w:val="22"/>
        </w:rPr>
      </w:pPr>
      <w:r w:rsidRPr="00890725">
        <w:rPr>
          <w:b/>
          <w:color w:val="auto"/>
          <w:sz w:val="22"/>
          <w:szCs w:val="22"/>
        </w:rPr>
        <w:t>Grenfell tower</w:t>
      </w:r>
    </w:p>
    <w:p w:rsidR="00CA674A" w:rsidRDefault="00CA674A" w:rsidP="00CA674A">
      <w:pPr>
        <w:pStyle w:val="Default"/>
        <w:tabs>
          <w:tab w:val="left" w:pos="567"/>
        </w:tabs>
        <w:ind w:left="792"/>
        <w:rPr>
          <w:b/>
          <w:color w:val="auto"/>
          <w:sz w:val="22"/>
          <w:szCs w:val="22"/>
        </w:rPr>
      </w:pPr>
    </w:p>
    <w:p w:rsidR="009E2901" w:rsidRPr="00DB4CA0" w:rsidRDefault="009E2901" w:rsidP="00DB4CA0">
      <w:pPr>
        <w:pStyle w:val="ListParagraph"/>
        <w:numPr>
          <w:ilvl w:val="0"/>
          <w:numId w:val="11"/>
        </w:numPr>
        <w:suppressAutoHyphens w:val="0"/>
        <w:autoSpaceDN/>
        <w:contextualSpacing/>
        <w:textAlignment w:val="auto"/>
        <w:rPr>
          <w:rStyle w:val="ReportTemplate"/>
          <w:rFonts w:ascii="Arial" w:hAnsi="Arial" w:cs="Arial"/>
          <w:szCs w:val="22"/>
        </w:rPr>
      </w:pPr>
      <w:r w:rsidRPr="00DB4CA0">
        <w:rPr>
          <w:rStyle w:val="ReportTemplate"/>
          <w:rFonts w:ascii="Arial" w:hAnsi="Arial" w:cs="Arial"/>
          <w:szCs w:val="22"/>
        </w:rPr>
        <w:t xml:space="preserve">FSMC has contributed significantly to the LGA’s response to the Grenfell tragedy. This work has involved assisting MHCLG and councils with identifying council and other social housing blocks with aluminium composite material (ACM) cladding systems similar to that on Grenfell Tower, and working with councils on the removal of that cladding. </w:t>
      </w:r>
    </w:p>
    <w:p w:rsidR="009E2901" w:rsidRPr="009E2901" w:rsidRDefault="009E2901" w:rsidP="009E2901">
      <w:pPr>
        <w:pStyle w:val="ListParagraph"/>
        <w:ind w:left="360"/>
        <w:rPr>
          <w:rStyle w:val="ReportTemplate"/>
          <w:rFonts w:ascii="Arial" w:hAnsi="Arial" w:cs="Arial"/>
          <w:szCs w:val="22"/>
        </w:rPr>
      </w:pPr>
    </w:p>
    <w:p w:rsidR="00DB4CA0" w:rsidRPr="00DB4CA0" w:rsidRDefault="009E2901" w:rsidP="00DB4CA0">
      <w:pPr>
        <w:pStyle w:val="Default"/>
        <w:numPr>
          <w:ilvl w:val="0"/>
          <w:numId w:val="11"/>
        </w:numPr>
        <w:tabs>
          <w:tab w:val="left" w:pos="567"/>
        </w:tabs>
        <w:suppressAutoHyphens w:val="0"/>
        <w:contextualSpacing/>
        <w:textAlignment w:val="auto"/>
        <w:rPr>
          <w:sz w:val="22"/>
          <w:szCs w:val="22"/>
        </w:rPr>
      </w:pPr>
      <w:r w:rsidRPr="009E2901">
        <w:rPr>
          <w:rStyle w:val="ReportTemplate"/>
          <w:sz w:val="22"/>
          <w:szCs w:val="22"/>
        </w:rPr>
        <w:t xml:space="preserve">The LGA also successfully called for a review of building regulations and fire safety. The interim report from Dame Judith </w:t>
      </w:r>
      <w:proofErr w:type="spellStart"/>
      <w:r w:rsidRPr="009E2901">
        <w:rPr>
          <w:rStyle w:val="ReportTemplate"/>
          <w:sz w:val="22"/>
          <w:szCs w:val="22"/>
        </w:rPr>
        <w:t>Hackitt</w:t>
      </w:r>
      <w:proofErr w:type="spellEnd"/>
      <w:r w:rsidRPr="009E2901">
        <w:rPr>
          <w:rStyle w:val="ReportTemplate"/>
          <w:sz w:val="22"/>
          <w:szCs w:val="22"/>
        </w:rPr>
        <w:t xml:space="preserve"> reflected all the significant points the LGA had made in its submission to the review, and her final report, published in May, sets out how the regulatory system for high-rise buil</w:t>
      </w:r>
      <w:r w:rsidR="00DF743C">
        <w:rPr>
          <w:rStyle w:val="ReportTemplate"/>
          <w:sz w:val="22"/>
          <w:szCs w:val="22"/>
        </w:rPr>
        <w:t>dings can be made fit for the twenty-first</w:t>
      </w:r>
      <w:r w:rsidRPr="009E2901">
        <w:rPr>
          <w:rStyle w:val="ReportTemplate"/>
          <w:sz w:val="22"/>
          <w:szCs w:val="22"/>
        </w:rPr>
        <w:t xml:space="preserve"> century. The LGA continues to work on issues related to fire doors, enforcement powers, identifying ACM cladding on private blocks and the impact this may have on </w:t>
      </w:r>
      <w:r w:rsidR="00DB4CA0">
        <w:rPr>
          <w:rStyle w:val="ReportTemplate"/>
          <w:sz w:val="22"/>
          <w:szCs w:val="22"/>
        </w:rPr>
        <w:t xml:space="preserve">leaseholders.  </w:t>
      </w:r>
    </w:p>
    <w:p w:rsidR="00DF743C" w:rsidRDefault="00DF743C" w:rsidP="00E46557">
      <w:pPr>
        <w:pStyle w:val="ListParagraph"/>
        <w:autoSpaceDE w:val="0"/>
        <w:adjustRightInd w:val="0"/>
        <w:ind w:left="0"/>
        <w:rPr>
          <w:rFonts w:ascii="Arial" w:hAnsi="Arial" w:cs="Arial"/>
          <w:b/>
          <w:szCs w:val="22"/>
        </w:rPr>
      </w:pPr>
    </w:p>
    <w:p w:rsidR="00E46557" w:rsidRPr="00486F5F" w:rsidRDefault="00E46557" w:rsidP="00E46557">
      <w:pPr>
        <w:pStyle w:val="ListParagraph"/>
        <w:autoSpaceDE w:val="0"/>
        <w:adjustRightInd w:val="0"/>
        <w:ind w:left="0"/>
        <w:rPr>
          <w:rFonts w:ascii="Arial" w:hAnsi="Arial" w:cs="Arial"/>
          <w:b/>
          <w:szCs w:val="22"/>
        </w:rPr>
      </w:pPr>
      <w:r>
        <w:rPr>
          <w:rFonts w:ascii="Arial" w:hAnsi="Arial" w:cs="Arial"/>
          <w:b/>
          <w:szCs w:val="22"/>
        </w:rPr>
        <w:t>Priorities for 2018-19</w:t>
      </w:r>
    </w:p>
    <w:p w:rsidR="00FC7580" w:rsidRDefault="00FC7580" w:rsidP="00FC7580">
      <w:pPr>
        <w:pStyle w:val="ListParagraph"/>
        <w:suppressAutoHyphens w:val="0"/>
        <w:autoSpaceDE w:val="0"/>
        <w:adjustRightInd w:val="0"/>
        <w:ind w:left="360"/>
        <w:contextualSpacing/>
        <w:textAlignment w:val="auto"/>
        <w:rPr>
          <w:rFonts w:ascii="Arial" w:hAnsi="Arial" w:cs="Arial"/>
          <w:szCs w:val="22"/>
        </w:rPr>
      </w:pPr>
    </w:p>
    <w:p w:rsidR="00486F5F" w:rsidRPr="00DB4CA0" w:rsidRDefault="00115148" w:rsidP="00DB4CA0">
      <w:pPr>
        <w:pStyle w:val="ListParagraph"/>
        <w:numPr>
          <w:ilvl w:val="0"/>
          <w:numId w:val="11"/>
        </w:numPr>
        <w:suppressAutoHyphens w:val="0"/>
        <w:autoSpaceDE w:val="0"/>
        <w:adjustRightInd w:val="0"/>
        <w:contextualSpacing/>
        <w:textAlignment w:val="auto"/>
        <w:rPr>
          <w:rFonts w:ascii="Arial" w:hAnsi="Arial" w:cs="Arial"/>
          <w:szCs w:val="22"/>
        </w:rPr>
      </w:pPr>
      <w:r w:rsidRPr="00DB4CA0">
        <w:rPr>
          <w:rFonts w:ascii="Arial" w:hAnsi="Arial" w:cs="Arial"/>
          <w:szCs w:val="22"/>
        </w:rPr>
        <w:t xml:space="preserve">Members are asked to consider whether there are any particular issues </w:t>
      </w:r>
      <w:r w:rsidR="00C3342D" w:rsidRPr="00DB4CA0">
        <w:rPr>
          <w:rFonts w:ascii="Arial" w:hAnsi="Arial" w:cs="Arial"/>
          <w:szCs w:val="22"/>
        </w:rPr>
        <w:t>that are missing from the below lis</w:t>
      </w:r>
      <w:r w:rsidR="00FC7580" w:rsidRPr="00DB4CA0">
        <w:rPr>
          <w:rFonts w:ascii="Arial" w:hAnsi="Arial" w:cs="Arial"/>
          <w:szCs w:val="22"/>
        </w:rPr>
        <w:t>t or if there are any priorities that are less relevant for the next year</w:t>
      </w:r>
      <w:r w:rsidR="00C3342D" w:rsidRPr="00DB4CA0">
        <w:rPr>
          <w:rFonts w:ascii="Arial" w:hAnsi="Arial" w:cs="Arial"/>
          <w:szCs w:val="22"/>
        </w:rPr>
        <w:t>.</w:t>
      </w:r>
      <w:r w:rsidR="00E46557" w:rsidRPr="00DB4CA0">
        <w:rPr>
          <w:rFonts w:ascii="Arial" w:hAnsi="Arial" w:cs="Arial"/>
          <w:szCs w:val="22"/>
        </w:rPr>
        <w:t xml:space="preserve"> </w:t>
      </w:r>
      <w:r w:rsidR="00DB4CA0">
        <w:rPr>
          <w:rFonts w:ascii="Arial" w:hAnsi="Arial" w:cs="Arial"/>
          <w:szCs w:val="22"/>
        </w:rPr>
        <w:t>Lead Members discussed these in the May meeting.</w:t>
      </w:r>
    </w:p>
    <w:p w:rsidR="00A07591" w:rsidRDefault="00A07591" w:rsidP="00A07591">
      <w:pPr>
        <w:pStyle w:val="ListParagraph"/>
        <w:suppressAutoHyphens w:val="0"/>
        <w:autoSpaceDE w:val="0"/>
        <w:adjustRightInd w:val="0"/>
        <w:ind w:left="360"/>
        <w:contextualSpacing/>
        <w:textAlignment w:val="auto"/>
        <w:rPr>
          <w:rFonts w:ascii="Arial" w:hAnsi="Arial" w:cs="Arial"/>
          <w:szCs w:val="22"/>
        </w:rPr>
      </w:pPr>
    </w:p>
    <w:p w:rsidR="00FC7580" w:rsidRPr="004061B2"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Governance</w:t>
      </w:r>
      <w:r w:rsidR="00272306">
        <w:rPr>
          <w:color w:val="auto"/>
          <w:sz w:val="22"/>
          <w:szCs w:val="22"/>
        </w:rPr>
        <w:t>:</w:t>
      </w:r>
      <w:r w:rsidRPr="004061B2">
        <w:rPr>
          <w:color w:val="auto"/>
          <w:sz w:val="22"/>
          <w:szCs w:val="22"/>
        </w:rPr>
        <w:t xml:space="preserve"> </w:t>
      </w:r>
      <w:r w:rsidR="00272306" w:rsidRPr="00272306">
        <w:rPr>
          <w:color w:val="auto"/>
          <w:sz w:val="22"/>
          <w:szCs w:val="22"/>
        </w:rPr>
        <w:t>continuing work associated with the greater involvement of PCCs in fire and rescue service governance structures, and to provide advice and assistance to fire and rescue authorities around this agenda.</w:t>
      </w:r>
    </w:p>
    <w:p w:rsidR="00272306" w:rsidRDefault="00272306" w:rsidP="00DB4CA0">
      <w:pPr>
        <w:pStyle w:val="Default"/>
        <w:tabs>
          <w:tab w:val="left" w:pos="567"/>
        </w:tabs>
        <w:ind w:left="851" w:hanging="491"/>
        <w:rPr>
          <w:color w:val="auto"/>
          <w:sz w:val="22"/>
          <w:szCs w:val="22"/>
        </w:rPr>
      </w:pPr>
    </w:p>
    <w:p w:rsidR="00272306"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Transparency and standards</w:t>
      </w:r>
      <w:r w:rsidR="00272306">
        <w:rPr>
          <w:color w:val="auto"/>
          <w:sz w:val="22"/>
          <w:szCs w:val="22"/>
        </w:rPr>
        <w:t xml:space="preserve">: continue to engage with HMICFRS around the inspection process, ensuring that the impact of inspection on fire and rescue services is understood and any new burdens highlighted to government. The LGA </w:t>
      </w:r>
      <w:r w:rsidR="00272306">
        <w:rPr>
          <w:color w:val="auto"/>
          <w:sz w:val="22"/>
          <w:szCs w:val="22"/>
        </w:rPr>
        <w:lastRenderedPageBreak/>
        <w:t>will be updating the Fire Peer Challenge</w:t>
      </w:r>
      <w:r w:rsidR="00AA4559">
        <w:rPr>
          <w:color w:val="auto"/>
          <w:sz w:val="22"/>
          <w:szCs w:val="22"/>
        </w:rPr>
        <w:t xml:space="preserve"> and Operational Assessment</w:t>
      </w:r>
      <w:r w:rsidR="00272306">
        <w:rPr>
          <w:color w:val="auto"/>
          <w:sz w:val="22"/>
          <w:szCs w:val="22"/>
        </w:rPr>
        <w:t xml:space="preserve"> offer to the sector alongside the NFCC to ensure that it provides value to the sector and </w:t>
      </w:r>
      <w:r w:rsidR="00AA4559">
        <w:rPr>
          <w:color w:val="auto"/>
          <w:sz w:val="22"/>
          <w:szCs w:val="22"/>
        </w:rPr>
        <w:t>complements the inspection regime. The LGA will be a part of the new Fire Standards Board.</w:t>
      </w:r>
    </w:p>
    <w:p w:rsidR="00FC7580" w:rsidRPr="004061B2" w:rsidRDefault="00272306" w:rsidP="00DB4CA0">
      <w:pPr>
        <w:pStyle w:val="Default"/>
        <w:tabs>
          <w:tab w:val="left" w:pos="567"/>
        </w:tabs>
        <w:ind w:left="851" w:hanging="491"/>
        <w:rPr>
          <w:color w:val="auto"/>
          <w:sz w:val="22"/>
          <w:szCs w:val="22"/>
        </w:rPr>
      </w:pPr>
      <w:r>
        <w:rPr>
          <w:color w:val="auto"/>
          <w:sz w:val="22"/>
          <w:szCs w:val="22"/>
        </w:rPr>
        <w:t xml:space="preserve"> </w:t>
      </w:r>
    </w:p>
    <w:p w:rsidR="00AA4559"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Workforce</w:t>
      </w:r>
      <w:r w:rsidR="00AA4559">
        <w:rPr>
          <w:color w:val="auto"/>
          <w:sz w:val="22"/>
          <w:szCs w:val="22"/>
        </w:rPr>
        <w:t>: the LGA will work with members to provide a leadership training programme on Inclusion and Diversity</w:t>
      </w:r>
      <w:r w:rsidR="000E165E">
        <w:rPr>
          <w:color w:val="auto"/>
          <w:sz w:val="22"/>
          <w:szCs w:val="22"/>
        </w:rPr>
        <w:t xml:space="preserve">. We will continue to promote the Memorandum of Understanding and hold another Summit in April 2019 to discuss what work has happened over the past year. </w:t>
      </w:r>
      <w:r w:rsidR="00AA4559">
        <w:rPr>
          <w:color w:val="auto"/>
          <w:sz w:val="22"/>
          <w:szCs w:val="22"/>
        </w:rPr>
        <w:t xml:space="preserve"> </w:t>
      </w:r>
    </w:p>
    <w:p w:rsidR="00FC7580" w:rsidRPr="004061B2" w:rsidRDefault="00FC7580" w:rsidP="00DB4CA0">
      <w:pPr>
        <w:pStyle w:val="Default"/>
        <w:tabs>
          <w:tab w:val="left" w:pos="567"/>
        </w:tabs>
        <w:ind w:left="851" w:hanging="491"/>
        <w:rPr>
          <w:color w:val="auto"/>
          <w:sz w:val="22"/>
          <w:szCs w:val="22"/>
        </w:rPr>
      </w:pPr>
      <w:r w:rsidRPr="004061B2">
        <w:rPr>
          <w:color w:val="auto"/>
          <w:sz w:val="22"/>
          <w:szCs w:val="22"/>
        </w:rPr>
        <w:t xml:space="preserve"> </w:t>
      </w:r>
    </w:p>
    <w:p w:rsidR="00FC7580"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Collaboration</w:t>
      </w:r>
      <w:r w:rsidR="000E165E">
        <w:rPr>
          <w:color w:val="auto"/>
          <w:sz w:val="22"/>
          <w:szCs w:val="22"/>
        </w:rPr>
        <w:t>:</w:t>
      </w:r>
      <w:r w:rsidR="000E165E" w:rsidRPr="000E165E">
        <w:rPr>
          <w:color w:val="auto"/>
          <w:sz w:val="22"/>
          <w:szCs w:val="22"/>
        </w:rPr>
        <w:t xml:space="preserve"> the Committee has consistently supported increased collaboration between the fire service and the other emergency services. It has also highlighted to government the increasing role taken by the service in supporting broader health objectives, and the value of this role has been increasingly </w:t>
      </w:r>
      <w:proofErr w:type="spellStart"/>
      <w:r w:rsidR="000E165E" w:rsidRPr="000E165E">
        <w:rPr>
          <w:color w:val="auto"/>
          <w:sz w:val="22"/>
          <w:szCs w:val="22"/>
        </w:rPr>
        <w:t>recognised</w:t>
      </w:r>
      <w:proofErr w:type="spellEnd"/>
      <w:r w:rsidR="000E165E" w:rsidRPr="000E165E">
        <w:rPr>
          <w:color w:val="auto"/>
          <w:sz w:val="22"/>
          <w:szCs w:val="22"/>
        </w:rPr>
        <w:t>.</w:t>
      </w:r>
    </w:p>
    <w:p w:rsidR="000E165E" w:rsidRPr="004061B2" w:rsidRDefault="000E165E" w:rsidP="00DB4CA0">
      <w:pPr>
        <w:pStyle w:val="Default"/>
        <w:tabs>
          <w:tab w:val="left" w:pos="567"/>
        </w:tabs>
        <w:ind w:left="851" w:hanging="491"/>
        <w:rPr>
          <w:color w:val="auto"/>
          <w:sz w:val="22"/>
          <w:szCs w:val="22"/>
        </w:rPr>
      </w:pPr>
    </w:p>
    <w:p w:rsidR="000E165E"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Procurement and value for money</w:t>
      </w:r>
      <w:r w:rsidR="000E165E">
        <w:rPr>
          <w:color w:val="auto"/>
          <w:sz w:val="22"/>
          <w:szCs w:val="22"/>
        </w:rPr>
        <w:t xml:space="preserve">: </w:t>
      </w:r>
      <w:r w:rsidR="000E165E" w:rsidRPr="000E165E">
        <w:rPr>
          <w:color w:val="auto"/>
          <w:sz w:val="22"/>
          <w:szCs w:val="22"/>
        </w:rPr>
        <w:t>the National Fire Chiefs Council will be pressing ahead with improving procurement practices and obtaining better value for money from its purchases. So far the Committee’s role in progressing this agenda has been purely supportive, but it may be that a more active role is needed to help make progress in this area in the year ahead.</w:t>
      </w:r>
      <w:r w:rsidR="000E165E">
        <w:rPr>
          <w:color w:val="auto"/>
          <w:sz w:val="22"/>
          <w:szCs w:val="22"/>
        </w:rPr>
        <w:t xml:space="preserve"> The Emergency Services Mobile Communications Programme may need further examination over the coming year as the implications of the delay of the programme are further understood.</w:t>
      </w:r>
    </w:p>
    <w:p w:rsidR="00FC7580" w:rsidRPr="004061B2" w:rsidRDefault="00FC7580" w:rsidP="00DB4CA0">
      <w:pPr>
        <w:pStyle w:val="Default"/>
        <w:tabs>
          <w:tab w:val="left" w:pos="567"/>
        </w:tabs>
        <w:ind w:left="851" w:hanging="491"/>
        <w:rPr>
          <w:color w:val="auto"/>
          <w:sz w:val="22"/>
          <w:szCs w:val="22"/>
        </w:rPr>
      </w:pPr>
    </w:p>
    <w:p w:rsidR="00FC7580" w:rsidRDefault="000E165E" w:rsidP="00DB4CA0">
      <w:pPr>
        <w:pStyle w:val="Default"/>
        <w:numPr>
          <w:ilvl w:val="1"/>
          <w:numId w:val="11"/>
        </w:numPr>
        <w:tabs>
          <w:tab w:val="left" w:pos="567"/>
        </w:tabs>
        <w:ind w:left="851" w:hanging="491"/>
        <w:rPr>
          <w:color w:val="auto"/>
          <w:sz w:val="22"/>
          <w:szCs w:val="22"/>
        </w:rPr>
      </w:pPr>
      <w:r>
        <w:rPr>
          <w:color w:val="auto"/>
          <w:sz w:val="22"/>
          <w:szCs w:val="22"/>
        </w:rPr>
        <w:t xml:space="preserve">Funding: The Comprehensive Spending Review, the Fair Funding Review and the impact of the </w:t>
      </w:r>
      <w:proofErr w:type="spellStart"/>
      <w:r>
        <w:rPr>
          <w:color w:val="auto"/>
          <w:sz w:val="22"/>
          <w:szCs w:val="22"/>
        </w:rPr>
        <w:t>Hackitt</w:t>
      </w:r>
      <w:proofErr w:type="spellEnd"/>
      <w:r>
        <w:rPr>
          <w:color w:val="auto"/>
          <w:sz w:val="22"/>
          <w:szCs w:val="22"/>
        </w:rPr>
        <w:t xml:space="preserve"> Review will all have an impact on the work of the fire and rescue service. The LGA will respond to these issues to ensure that the fire and rescue service continues to be funded primarily based on risk.</w:t>
      </w:r>
    </w:p>
    <w:p w:rsidR="000E165E" w:rsidRPr="004061B2" w:rsidRDefault="000E165E" w:rsidP="00DB4CA0">
      <w:pPr>
        <w:pStyle w:val="Default"/>
        <w:tabs>
          <w:tab w:val="left" w:pos="567"/>
        </w:tabs>
        <w:ind w:left="851" w:hanging="491"/>
        <w:rPr>
          <w:color w:val="auto"/>
          <w:sz w:val="22"/>
          <w:szCs w:val="22"/>
        </w:rPr>
      </w:pPr>
    </w:p>
    <w:p w:rsidR="00FC7580" w:rsidRPr="00A07591" w:rsidRDefault="00FC7580" w:rsidP="00DB4CA0">
      <w:pPr>
        <w:pStyle w:val="Default"/>
        <w:numPr>
          <w:ilvl w:val="1"/>
          <w:numId w:val="11"/>
        </w:numPr>
        <w:tabs>
          <w:tab w:val="left" w:pos="567"/>
        </w:tabs>
        <w:ind w:left="851" w:hanging="491"/>
        <w:rPr>
          <w:color w:val="auto"/>
          <w:sz w:val="22"/>
          <w:szCs w:val="22"/>
        </w:rPr>
      </w:pPr>
      <w:r w:rsidRPr="004061B2">
        <w:rPr>
          <w:color w:val="auto"/>
          <w:sz w:val="22"/>
          <w:szCs w:val="22"/>
        </w:rPr>
        <w:t>Grenfell tower</w:t>
      </w:r>
      <w:r w:rsidR="00B61A8F">
        <w:rPr>
          <w:color w:val="auto"/>
          <w:sz w:val="22"/>
          <w:szCs w:val="22"/>
        </w:rPr>
        <w:t>: the impact of Grenfell tower on the fire and rescue service will continue for the foreseeable future</w:t>
      </w:r>
      <w:r w:rsidR="009C7641">
        <w:rPr>
          <w:color w:val="auto"/>
          <w:sz w:val="22"/>
          <w:szCs w:val="22"/>
        </w:rPr>
        <w:t xml:space="preserve">. The LGA will respond to the </w:t>
      </w:r>
      <w:proofErr w:type="spellStart"/>
      <w:r w:rsidR="009C7641">
        <w:rPr>
          <w:color w:val="auto"/>
          <w:sz w:val="22"/>
          <w:szCs w:val="22"/>
        </w:rPr>
        <w:t>Hackitt</w:t>
      </w:r>
      <w:proofErr w:type="spellEnd"/>
      <w:r w:rsidR="009C7641">
        <w:rPr>
          <w:color w:val="auto"/>
          <w:sz w:val="22"/>
          <w:szCs w:val="22"/>
        </w:rPr>
        <w:t xml:space="preserve"> Review’s final report, work with government on delivering a </w:t>
      </w:r>
      <w:r w:rsidR="00DF743C">
        <w:rPr>
          <w:color w:val="auto"/>
          <w:sz w:val="22"/>
          <w:szCs w:val="22"/>
        </w:rPr>
        <w:t>regulatory system fit for the twenty-first</w:t>
      </w:r>
      <w:r w:rsidR="009C7641">
        <w:rPr>
          <w:color w:val="auto"/>
          <w:sz w:val="22"/>
          <w:szCs w:val="22"/>
        </w:rPr>
        <w:t xml:space="preserve"> century</w:t>
      </w:r>
      <w:r w:rsidR="00B61A8F">
        <w:rPr>
          <w:color w:val="auto"/>
          <w:sz w:val="22"/>
          <w:szCs w:val="22"/>
        </w:rPr>
        <w:t xml:space="preserve">, </w:t>
      </w:r>
      <w:r w:rsidR="009C7641">
        <w:rPr>
          <w:color w:val="auto"/>
          <w:sz w:val="22"/>
          <w:szCs w:val="22"/>
        </w:rPr>
        <w:t>and respond to the government consultation to ban the use of combustible materials on the exterior of high-rise residential.</w:t>
      </w:r>
      <w:r w:rsidR="009E2901">
        <w:rPr>
          <w:color w:val="auto"/>
          <w:sz w:val="22"/>
          <w:szCs w:val="22"/>
        </w:rPr>
        <w:t xml:space="preserve"> We will also take forward the recommendations from the sprinklers working group</w:t>
      </w:r>
      <w:r w:rsidR="00A23844">
        <w:rPr>
          <w:color w:val="auto"/>
          <w:sz w:val="22"/>
          <w:szCs w:val="22"/>
        </w:rPr>
        <w:t xml:space="preserve">, and </w:t>
      </w:r>
      <w:r w:rsidR="009E2901">
        <w:rPr>
          <w:sz w:val="22"/>
          <w:szCs w:val="22"/>
        </w:rPr>
        <w:t>w</w:t>
      </w:r>
      <w:r w:rsidR="009E2901" w:rsidRPr="009E2901">
        <w:rPr>
          <w:sz w:val="22"/>
          <w:szCs w:val="22"/>
        </w:rPr>
        <w:t>e will lobby for any new</w:t>
      </w:r>
      <w:r w:rsidR="00A23844">
        <w:rPr>
          <w:sz w:val="22"/>
          <w:szCs w:val="22"/>
        </w:rPr>
        <w:t xml:space="preserve"> burdens to be fully funded as well as </w:t>
      </w:r>
      <w:r w:rsidR="009E2901" w:rsidRPr="009E2901">
        <w:rPr>
          <w:sz w:val="22"/>
          <w:szCs w:val="22"/>
        </w:rPr>
        <w:t>monitor the impact on FRAs of increased inspections post Grenfell.</w:t>
      </w:r>
      <w:r w:rsidR="009E2901">
        <w:rPr>
          <w:color w:val="auto"/>
          <w:sz w:val="22"/>
          <w:szCs w:val="22"/>
        </w:rPr>
        <w:t xml:space="preserve"> </w:t>
      </w:r>
      <w:r w:rsidR="00B61A8F">
        <w:rPr>
          <w:color w:val="auto"/>
          <w:sz w:val="22"/>
          <w:szCs w:val="22"/>
        </w:rPr>
        <w:t xml:space="preserve">  </w:t>
      </w:r>
    </w:p>
    <w:p w:rsidR="00486F5F" w:rsidRPr="00B61A8F" w:rsidRDefault="00B61A8F" w:rsidP="00B61A8F">
      <w:pPr>
        <w:tabs>
          <w:tab w:val="left" w:pos="2880"/>
        </w:tabs>
        <w:autoSpaceDE w:val="0"/>
        <w:adjustRightInd w:val="0"/>
        <w:rPr>
          <w:rFonts w:ascii="Arial" w:hAnsi="Arial" w:cs="Arial"/>
        </w:rPr>
      </w:pPr>
      <w:r>
        <w:rPr>
          <w:rFonts w:ascii="Arial" w:hAnsi="Arial" w:cs="Arial"/>
        </w:rPr>
        <w:tab/>
      </w:r>
    </w:p>
    <w:p w:rsidR="00B61A8F" w:rsidRDefault="00B61A8F" w:rsidP="00DB4CA0">
      <w:pPr>
        <w:pStyle w:val="ListParagraph"/>
        <w:numPr>
          <w:ilvl w:val="0"/>
          <w:numId w:val="11"/>
        </w:numPr>
        <w:suppressAutoHyphens w:val="0"/>
        <w:autoSpaceDN/>
        <w:textAlignment w:val="auto"/>
        <w:rPr>
          <w:rFonts w:ascii="Arial" w:hAnsi="Arial" w:cs="Arial"/>
          <w:szCs w:val="22"/>
        </w:rPr>
      </w:pPr>
      <w:r w:rsidRPr="00B61A8F">
        <w:rPr>
          <w:rFonts w:ascii="Arial" w:hAnsi="Arial" w:cs="Arial"/>
          <w:szCs w:val="22"/>
        </w:rPr>
        <w:t>Members are asked to comment on whether these are the right priorities for the Committee over the next year and if any further priorities need to be considered. Members’ views will be used to inform the priorities paper brought to the Committee in September.</w:t>
      </w:r>
    </w:p>
    <w:p w:rsidR="00B61A8F" w:rsidRDefault="00B61A8F" w:rsidP="00B61A8F">
      <w:pPr>
        <w:pStyle w:val="ListParagraph"/>
        <w:suppressAutoHyphens w:val="0"/>
        <w:autoSpaceDN/>
        <w:ind w:left="360"/>
        <w:textAlignment w:val="auto"/>
        <w:rPr>
          <w:rFonts w:ascii="Arial" w:hAnsi="Arial" w:cs="Arial"/>
          <w:szCs w:val="22"/>
        </w:rPr>
      </w:pPr>
    </w:p>
    <w:p w:rsidR="00B61A8F" w:rsidRPr="00B61A8F" w:rsidRDefault="00B61A8F" w:rsidP="00B61A8F">
      <w:pPr>
        <w:tabs>
          <w:tab w:val="left" w:pos="7500"/>
        </w:tabs>
        <w:autoSpaceDE w:val="0"/>
        <w:adjustRightInd w:val="0"/>
        <w:rPr>
          <w:rFonts w:ascii="Arial" w:hAnsi="Arial" w:cs="Arial"/>
          <w:b/>
        </w:rPr>
      </w:pPr>
      <w:r w:rsidRPr="00B61A8F">
        <w:rPr>
          <w:rFonts w:ascii="Arial" w:hAnsi="Arial" w:cs="Arial"/>
          <w:b/>
        </w:rPr>
        <w:t>Implications for Wales</w:t>
      </w:r>
      <w:r w:rsidRPr="00B61A8F">
        <w:rPr>
          <w:rFonts w:ascii="Arial" w:hAnsi="Arial" w:cs="Arial"/>
          <w:b/>
        </w:rPr>
        <w:tab/>
      </w:r>
    </w:p>
    <w:p w:rsidR="00B61A8F" w:rsidRDefault="00B61A8F" w:rsidP="00B61A8F">
      <w:pPr>
        <w:pStyle w:val="ListParagraph"/>
        <w:suppressAutoHyphens w:val="0"/>
        <w:autoSpaceDN/>
        <w:ind w:left="360"/>
        <w:textAlignment w:val="auto"/>
        <w:rPr>
          <w:rFonts w:ascii="Arial" w:hAnsi="Arial" w:cs="Arial"/>
          <w:szCs w:val="22"/>
        </w:rPr>
      </w:pPr>
    </w:p>
    <w:p w:rsidR="00486F5F" w:rsidRPr="001E26F3" w:rsidRDefault="001E26F3" w:rsidP="00DB4CA0">
      <w:pPr>
        <w:pStyle w:val="ListParagraph"/>
        <w:numPr>
          <w:ilvl w:val="0"/>
          <w:numId w:val="11"/>
        </w:numPr>
        <w:suppressAutoHyphens w:val="0"/>
        <w:autoSpaceDN/>
        <w:textAlignment w:val="auto"/>
        <w:rPr>
          <w:rFonts w:ascii="Arial" w:hAnsi="Arial" w:cs="Arial"/>
          <w:szCs w:val="22"/>
        </w:rPr>
      </w:pPr>
      <w:r w:rsidRPr="001E26F3">
        <w:rPr>
          <w:rFonts w:ascii="Arial" w:hAnsi="Arial" w:cs="Arial"/>
          <w:szCs w:val="22"/>
        </w:rPr>
        <w:t>Fire and rescue related policy is a devolved matter and much of the Committee’s work has focused on changes for Fire and Rescue Authorities in England, with the Welsh Local Government Association leading on lobbying for Welsh Fire and Rescue Authorities in Cardiff.</w:t>
      </w:r>
      <w:r w:rsidR="00486F5F" w:rsidRPr="001E26F3">
        <w:rPr>
          <w:rFonts w:ascii="Arial" w:hAnsi="Arial" w:cs="Arial"/>
          <w:szCs w:val="22"/>
        </w:rPr>
        <w:t xml:space="preserve"> </w:t>
      </w:r>
    </w:p>
    <w:p w:rsidR="00486F5F" w:rsidRDefault="00486F5F" w:rsidP="00486F5F">
      <w:pPr>
        <w:pStyle w:val="ListParagraph"/>
        <w:rPr>
          <w:rFonts w:ascii="Arial" w:hAnsi="Arial" w:cs="Arial"/>
          <w:szCs w:val="22"/>
        </w:rPr>
      </w:pPr>
    </w:p>
    <w:p w:rsidR="00966D0C" w:rsidRPr="00486F5F" w:rsidRDefault="00966D0C" w:rsidP="00486F5F">
      <w:pPr>
        <w:pStyle w:val="ListParagraph"/>
        <w:rPr>
          <w:rFonts w:ascii="Arial" w:hAnsi="Arial" w:cs="Arial"/>
          <w:szCs w:val="22"/>
        </w:rPr>
      </w:pPr>
      <w:bookmarkStart w:id="1" w:name="_GoBack"/>
      <w:bookmarkEnd w:id="1"/>
    </w:p>
    <w:p w:rsidR="00486F5F" w:rsidRPr="00486F5F" w:rsidRDefault="00486F5F" w:rsidP="00486F5F">
      <w:pPr>
        <w:pStyle w:val="ListParagraph"/>
        <w:ind w:left="0"/>
        <w:rPr>
          <w:rFonts w:ascii="Arial" w:hAnsi="Arial" w:cs="Arial"/>
          <w:b/>
          <w:szCs w:val="22"/>
        </w:rPr>
      </w:pPr>
      <w:r w:rsidRPr="00486F5F">
        <w:rPr>
          <w:rFonts w:ascii="Arial" w:hAnsi="Arial" w:cs="Arial"/>
          <w:b/>
          <w:szCs w:val="22"/>
        </w:rPr>
        <w:lastRenderedPageBreak/>
        <w:t>Financial implications</w:t>
      </w:r>
    </w:p>
    <w:p w:rsidR="00486F5F" w:rsidRPr="00486F5F" w:rsidRDefault="00486F5F" w:rsidP="00486F5F">
      <w:pPr>
        <w:pStyle w:val="ListParagraph"/>
        <w:rPr>
          <w:rFonts w:ascii="Arial" w:hAnsi="Arial" w:cs="Arial"/>
          <w:szCs w:val="22"/>
        </w:rPr>
      </w:pPr>
    </w:p>
    <w:p w:rsidR="00486F5F" w:rsidRPr="00C3342D" w:rsidRDefault="00151D1B" w:rsidP="00DB4CA0">
      <w:pPr>
        <w:pStyle w:val="ListParagraph"/>
        <w:numPr>
          <w:ilvl w:val="0"/>
          <w:numId w:val="11"/>
        </w:numPr>
        <w:suppressAutoHyphens w:val="0"/>
        <w:autoSpaceDE w:val="0"/>
        <w:adjustRightInd w:val="0"/>
        <w:contextualSpacing/>
        <w:textAlignment w:val="auto"/>
        <w:rPr>
          <w:rFonts w:ascii="Arial" w:hAnsi="Arial" w:cs="Arial"/>
          <w:szCs w:val="22"/>
        </w:rPr>
      </w:pPr>
      <w:r>
        <w:rPr>
          <w:rFonts w:ascii="Arial" w:hAnsi="Arial" w:cs="Arial"/>
          <w:szCs w:val="22"/>
        </w:rPr>
        <w:t>The policy and improvement budget is still being set for the forthcoming year.</w:t>
      </w:r>
    </w:p>
    <w:p w:rsidR="00486F5F" w:rsidRPr="00486F5F" w:rsidRDefault="00486F5F" w:rsidP="00486F5F">
      <w:pPr>
        <w:pStyle w:val="Default"/>
        <w:tabs>
          <w:tab w:val="left" w:pos="567"/>
        </w:tabs>
        <w:ind w:left="720"/>
        <w:rPr>
          <w:b/>
          <w:color w:val="auto"/>
          <w:sz w:val="22"/>
          <w:szCs w:val="22"/>
        </w:rPr>
      </w:pPr>
    </w:p>
    <w:sectPr w:rsidR="00486F5F" w:rsidRPr="00486F5F" w:rsidSect="009D19D4">
      <w:headerReference w:type="default" r:id="rId15"/>
      <w:footerReference w:type="default" r:id="rId16"/>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A0" w:rsidRDefault="00DB4CA0">
      <w:r>
        <w:separator/>
      </w:r>
    </w:p>
  </w:endnote>
  <w:endnote w:type="continuationSeparator" w:id="0">
    <w:p w:rsidR="00DB4CA0" w:rsidRDefault="00DB4CA0">
      <w:r>
        <w:continuationSeparator/>
      </w:r>
    </w:p>
  </w:endnote>
  <w:endnote w:type="continuationNotice" w:id="1">
    <w:p w:rsidR="00DB4CA0" w:rsidRDefault="00DB4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charset w:val="00"/>
    <w:family w:val="swiss"/>
    <w:pitch w:val="variable"/>
    <w:sig w:usb0="8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0" w:rsidRDefault="00DB4CA0">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0" w:rsidRDefault="00DB4CA0">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A0" w:rsidRDefault="00DB4CA0">
      <w:r>
        <w:rPr>
          <w:color w:val="000000"/>
        </w:rPr>
        <w:separator/>
      </w:r>
    </w:p>
  </w:footnote>
  <w:footnote w:type="continuationSeparator" w:id="0">
    <w:p w:rsidR="00DB4CA0" w:rsidRDefault="00DB4CA0">
      <w:r>
        <w:continuationSeparator/>
      </w:r>
    </w:p>
  </w:footnote>
  <w:footnote w:type="continuationNotice" w:id="1">
    <w:p w:rsidR="00DB4CA0" w:rsidRDefault="00DB4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DB4CA0">
      <w:tc>
        <w:tcPr>
          <w:tcW w:w="5778" w:type="dxa"/>
          <w:vMerge w:val="restart"/>
          <w:shd w:val="clear" w:color="auto" w:fill="auto"/>
          <w:tcMar>
            <w:top w:w="0" w:type="dxa"/>
            <w:left w:w="108" w:type="dxa"/>
            <w:bottom w:w="0" w:type="dxa"/>
            <w:right w:w="108" w:type="dxa"/>
          </w:tcMar>
        </w:tcPr>
        <w:p w:rsidR="00DB4CA0" w:rsidRDefault="00DB4CA0">
          <w:pPr>
            <w:pStyle w:val="Header"/>
          </w:pPr>
          <w:r>
            <w:rPr>
              <w:noProof/>
            </w:rPr>
            <w:drawing>
              <wp:inline distT="0" distB="0" distL="0" distR="0" wp14:anchorId="6A125741" wp14:editId="5CAA48A1">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rsidR="00DB4CA0" w:rsidRDefault="00DB4CA0">
          <w:pPr>
            <w:pStyle w:val="Header"/>
          </w:pPr>
        </w:p>
      </w:tc>
      <w:tc>
        <w:tcPr>
          <w:tcW w:w="3509" w:type="dxa"/>
          <w:shd w:val="clear" w:color="auto" w:fill="auto"/>
          <w:tcMar>
            <w:top w:w="0" w:type="dxa"/>
            <w:left w:w="108" w:type="dxa"/>
            <w:bottom w:w="0" w:type="dxa"/>
            <w:right w:w="108" w:type="dxa"/>
          </w:tcMar>
        </w:tcPr>
        <w:p w:rsidR="00DB4CA0" w:rsidRDefault="00DB4CA0">
          <w:pPr>
            <w:pStyle w:val="Header"/>
          </w:pPr>
          <w:r>
            <w:rPr>
              <w:rFonts w:ascii="Arial" w:hAnsi="Arial" w:cs="Arial"/>
              <w:b/>
              <w:sz w:val="24"/>
              <w:szCs w:val="24"/>
            </w:rPr>
            <w:t xml:space="preserve">Fire Service Management Committee </w:t>
          </w:r>
        </w:p>
      </w:tc>
    </w:tr>
    <w:tr w:rsidR="00DB4CA0">
      <w:trPr>
        <w:trHeight w:val="450"/>
      </w:trPr>
      <w:tc>
        <w:tcPr>
          <w:tcW w:w="5778" w:type="dxa"/>
          <w:vMerge/>
          <w:shd w:val="clear" w:color="auto" w:fill="auto"/>
          <w:tcMar>
            <w:top w:w="0" w:type="dxa"/>
            <w:left w:w="108" w:type="dxa"/>
            <w:bottom w:w="0" w:type="dxa"/>
            <w:right w:w="108" w:type="dxa"/>
          </w:tcMar>
        </w:tcPr>
        <w:p w:rsidR="00DB4CA0" w:rsidRDefault="00DB4CA0">
          <w:pPr>
            <w:pStyle w:val="Header"/>
          </w:pPr>
        </w:p>
      </w:tc>
      <w:tc>
        <w:tcPr>
          <w:tcW w:w="3509" w:type="dxa"/>
          <w:shd w:val="clear" w:color="auto" w:fill="auto"/>
          <w:tcMar>
            <w:top w:w="0" w:type="dxa"/>
            <w:left w:w="108" w:type="dxa"/>
            <w:bottom w:w="0" w:type="dxa"/>
            <w:right w:w="108" w:type="dxa"/>
          </w:tcMar>
        </w:tcPr>
        <w:p w:rsidR="00DB4CA0" w:rsidRDefault="00DB4CA0">
          <w:pPr>
            <w:pStyle w:val="Header"/>
            <w:spacing w:before="60"/>
          </w:pPr>
          <w:r>
            <w:rPr>
              <w:rFonts w:ascii="Arial" w:hAnsi="Arial" w:cs="Arial"/>
              <w:sz w:val="24"/>
              <w:szCs w:val="24"/>
            </w:rPr>
            <w:t>23 January 2012</w:t>
          </w:r>
        </w:p>
      </w:tc>
    </w:tr>
    <w:tr w:rsidR="00DB4CA0">
      <w:trPr>
        <w:trHeight w:val="450"/>
      </w:trPr>
      <w:tc>
        <w:tcPr>
          <w:tcW w:w="5778" w:type="dxa"/>
          <w:vMerge/>
          <w:shd w:val="clear" w:color="auto" w:fill="auto"/>
          <w:tcMar>
            <w:top w:w="0" w:type="dxa"/>
            <w:left w:w="108" w:type="dxa"/>
            <w:bottom w:w="0" w:type="dxa"/>
            <w:right w:w="108" w:type="dxa"/>
          </w:tcMar>
        </w:tcPr>
        <w:p w:rsidR="00DB4CA0" w:rsidRDefault="00DB4CA0">
          <w:pPr>
            <w:pStyle w:val="Header"/>
          </w:pPr>
        </w:p>
      </w:tc>
      <w:tc>
        <w:tcPr>
          <w:tcW w:w="3509" w:type="dxa"/>
          <w:shd w:val="clear" w:color="auto" w:fill="auto"/>
          <w:tcMar>
            <w:top w:w="0" w:type="dxa"/>
            <w:left w:w="108" w:type="dxa"/>
            <w:bottom w:w="0" w:type="dxa"/>
            <w:right w:w="108" w:type="dxa"/>
          </w:tcMar>
          <w:vAlign w:val="bottom"/>
        </w:tcPr>
        <w:p w:rsidR="00DB4CA0" w:rsidRDefault="00DB4CA0">
          <w:pPr>
            <w:pStyle w:val="Header"/>
            <w:spacing w:before="60"/>
            <w:rPr>
              <w:rFonts w:ascii="Arial" w:hAnsi="Arial" w:cs="Arial"/>
              <w:b/>
              <w:sz w:val="24"/>
              <w:szCs w:val="24"/>
            </w:rPr>
          </w:pPr>
          <w:r>
            <w:rPr>
              <w:rFonts w:ascii="Arial" w:hAnsi="Arial" w:cs="Arial"/>
              <w:b/>
              <w:sz w:val="24"/>
              <w:szCs w:val="24"/>
            </w:rPr>
            <w:t>Item x</w:t>
          </w:r>
        </w:p>
      </w:tc>
    </w:tr>
  </w:tbl>
  <w:p w:rsidR="00DB4CA0" w:rsidRDefault="00DB4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0" w:rsidRDefault="00DB4CA0">
    <w:pPr>
      <w:pStyle w:val="Header"/>
      <w:rPr>
        <w:sz w:val="2"/>
      </w:rPr>
    </w:pPr>
  </w:p>
  <w:p w:rsidR="00DB4CA0" w:rsidRDefault="00DB4CA0">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DB4CA0" w:rsidTr="00FD0152">
      <w:tc>
        <w:tcPr>
          <w:tcW w:w="5912" w:type="dxa"/>
          <w:vMerge w:val="restart"/>
          <w:shd w:val="clear" w:color="auto" w:fill="auto"/>
          <w:tcMar>
            <w:top w:w="0" w:type="dxa"/>
            <w:left w:w="108" w:type="dxa"/>
            <w:bottom w:w="0" w:type="dxa"/>
            <w:right w:w="108" w:type="dxa"/>
          </w:tcMar>
        </w:tcPr>
        <w:p w:rsidR="00DB4CA0" w:rsidRDefault="00DB4CA0">
          <w:pPr>
            <w:pStyle w:val="Header"/>
            <w:tabs>
              <w:tab w:val="clear" w:pos="4153"/>
              <w:tab w:val="clear" w:pos="8306"/>
              <w:tab w:val="center" w:pos="2923"/>
            </w:tabs>
          </w:pPr>
          <w:r>
            <w:rPr>
              <w:noProof/>
            </w:rPr>
            <w:drawing>
              <wp:inline distT="0" distB="0" distL="0" distR="0" wp14:anchorId="0BB13789" wp14:editId="28AC3D97">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rsidR="00DB4CA0" w:rsidRDefault="00DB4CA0" w:rsidP="00CE38B8">
          <w:pPr>
            <w:pStyle w:val="Header"/>
            <w:rPr>
              <w:rFonts w:ascii="Arial" w:hAnsi="Arial" w:cs="Arial"/>
              <w:b/>
              <w:szCs w:val="22"/>
            </w:rPr>
          </w:pPr>
          <w:r>
            <w:rPr>
              <w:rFonts w:ascii="Arial" w:hAnsi="Arial" w:cs="Arial"/>
              <w:b/>
              <w:szCs w:val="22"/>
            </w:rPr>
            <w:t xml:space="preserve">Fire Services Management Committee </w:t>
          </w:r>
        </w:p>
        <w:p w:rsidR="00DB4CA0" w:rsidRDefault="00DB4CA0" w:rsidP="00CE38B8">
          <w:pPr>
            <w:pStyle w:val="Header"/>
          </w:pPr>
        </w:p>
      </w:tc>
    </w:tr>
    <w:tr w:rsidR="00DB4CA0" w:rsidTr="00FD0152">
      <w:trPr>
        <w:trHeight w:val="450"/>
      </w:trPr>
      <w:tc>
        <w:tcPr>
          <w:tcW w:w="5912" w:type="dxa"/>
          <w:vMerge/>
          <w:shd w:val="clear" w:color="auto" w:fill="auto"/>
          <w:tcMar>
            <w:top w:w="0" w:type="dxa"/>
            <w:left w:w="108" w:type="dxa"/>
            <w:bottom w:w="0" w:type="dxa"/>
            <w:right w:w="108" w:type="dxa"/>
          </w:tcMar>
        </w:tcPr>
        <w:p w:rsidR="00DB4CA0" w:rsidRDefault="00DB4CA0">
          <w:pPr>
            <w:pStyle w:val="Header"/>
          </w:pPr>
        </w:p>
      </w:tc>
      <w:tc>
        <w:tcPr>
          <w:tcW w:w="3586" w:type="dxa"/>
          <w:shd w:val="clear" w:color="auto" w:fill="auto"/>
          <w:tcMar>
            <w:top w:w="0" w:type="dxa"/>
            <w:left w:w="108" w:type="dxa"/>
            <w:bottom w:w="0" w:type="dxa"/>
            <w:right w:w="108" w:type="dxa"/>
          </w:tcMar>
        </w:tcPr>
        <w:p w:rsidR="00DB4CA0" w:rsidRPr="00E166B8" w:rsidRDefault="00DB4CA0" w:rsidP="00E166B8">
          <w:pPr>
            <w:pStyle w:val="Header"/>
            <w:spacing w:before="60"/>
            <w:rPr>
              <w:rFonts w:ascii="Arial" w:hAnsi="Arial" w:cs="Arial"/>
            </w:rPr>
          </w:pPr>
          <w:r>
            <w:rPr>
              <w:rFonts w:ascii="Arial" w:hAnsi="Arial" w:cs="Arial"/>
            </w:rPr>
            <w:t>22 June 2018</w:t>
          </w:r>
        </w:p>
      </w:tc>
    </w:tr>
    <w:tr w:rsidR="00DB4CA0" w:rsidTr="00FD0152">
      <w:trPr>
        <w:trHeight w:val="87"/>
      </w:trPr>
      <w:tc>
        <w:tcPr>
          <w:tcW w:w="5912" w:type="dxa"/>
          <w:vMerge/>
          <w:shd w:val="clear" w:color="auto" w:fill="auto"/>
          <w:tcMar>
            <w:top w:w="0" w:type="dxa"/>
            <w:left w:w="108" w:type="dxa"/>
            <w:bottom w:w="0" w:type="dxa"/>
            <w:right w:w="108" w:type="dxa"/>
          </w:tcMar>
        </w:tcPr>
        <w:p w:rsidR="00DB4CA0" w:rsidRDefault="00DB4CA0">
          <w:pPr>
            <w:pStyle w:val="Header"/>
          </w:pPr>
        </w:p>
      </w:tc>
      <w:tc>
        <w:tcPr>
          <w:tcW w:w="3586" w:type="dxa"/>
          <w:shd w:val="clear" w:color="auto" w:fill="auto"/>
          <w:tcMar>
            <w:top w:w="0" w:type="dxa"/>
            <w:left w:w="108" w:type="dxa"/>
            <w:bottom w:w="0" w:type="dxa"/>
            <w:right w:w="108" w:type="dxa"/>
          </w:tcMar>
        </w:tcPr>
        <w:p w:rsidR="00DB4CA0" w:rsidRDefault="00DB4CA0">
          <w:pPr>
            <w:pStyle w:val="Header"/>
            <w:spacing w:before="60"/>
            <w:rPr>
              <w:rFonts w:ascii="Arial" w:hAnsi="Arial" w:cs="Arial"/>
              <w:b/>
              <w:szCs w:val="22"/>
            </w:rPr>
          </w:pPr>
        </w:p>
      </w:tc>
    </w:tr>
  </w:tbl>
  <w:p w:rsidR="00DB4CA0" w:rsidRDefault="00DB4C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DB4CA0" w:rsidTr="00FD0152">
      <w:tc>
        <w:tcPr>
          <w:tcW w:w="5912" w:type="dxa"/>
          <w:vMerge w:val="restart"/>
          <w:shd w:val="clear" w:color="auto" w:fill="auto"/>
          <w:tcMar>
            <w:top w:w="0" w:type="dxa"/>
            <w:left w:w="108" w:type="dxa"/>
            <w:bottom w:w="0" w:type="dxa"/>
            <w:right w:w="108" w:type="dxa"/>
          </w:tcMar>
        </w:tcPr>
        <w:p w:rsidR="00DB4CA0" w:rsidRDefault="00DB4CA0">
          <w:pPr>
            <w:pStyle w:val="Header"/>
            <w:tabs>
              <w:tab w:val="clear" w:pos="4153"/>
              <w:tab w:val="clear" w:pos="8306"/>
              <w:tab w:val="center" w:pos="2923"/>
            </w:tabs>
          </w:pPr>
          <w:r>
            <w:rPr>
              <w:noProof/>
            </w:rPr>
            <w:drawing>
              <wp:inline distT="0" distB="0" distL="0" distR="0" wp14:anchorId="72C393E2" wp14:editId="540D309F">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rsidR="00DB4CA0" w:rsidRDefault="00DB4CA0" w:rsidP="00CE38B8">
          <w:pPr>
            <w:pStyle w:val="Header"/>
            <w:rPr>
              <w:rFonts w:ascii="Arial" w:hAnsi="Arial" w:cs="Arial"/>
              <w:b/>
              <w:szCs w:val="22"/>
            </w:rPr>
          </w:pPr>
          <w:r>
            <w:rPr>
              <w:rFonts w:ascii="Arial" w:hAnsi="Arial" w:cs="Arial"/>
              <w:b/>
              <w:szCs w:val="22"/>
            </w:rPr>
            <w:t>Fire Services Management Committee Lead Members</w:t>
          </w:r>
        </w:p>
        <w:p w:rsidR="00DB4CA0" w:rsidRDefault="00DB4CA0" w:rsidP="00CE38B8">
          <w:pPr>
            <w:pStyle w:val="Header"/>
          </w:pPr>
        </w:p>
      </w:tc>
    </w:tr>
    <w:tr w:rsidR="00DB4CA0" w:rsidTr="00FD0152">
      <w:trPr>
        <w:gridAfter w:val="1"/>
        <w:wAfter w:w="427" w:type="dxa"/>
        <w:trHeight w:val="450"/>
      </w:trPr>
      <w:tc>
        <w:tcPr>
          <w:tcW w:w="5912" w:type="dxa"/>
          <w:vMerge/>
          <w:shd w:val="clear" w:color="auto" w:fill="auto"/>
          <w:tcMar>
            <w:top w:w="0" w:type="dxa"/>
            <w:left w:w="108" w:type="dxa"/>
            <w:bottom w:w="0" w:type="dxa"/>
            <w:right w:w="108" w:type="dxa"/>
          </w:tcMar>
        </w:tcPr>
        <w:p w:rsidR="00DB4CA0" w:rsidRDefault="00DB4CA0">
          <w:pPr>
            <w:pStyle w:val="Header"/>
          </w:pPr>
        </w:p>
      </w:tc>
      <w:tc>
        <w:tcPr>
          <w:tcW w:w="3159" w:type="dxa"/>
          <w:shd w:val="clear" w:color="auto" w:fill="auto"/>
          <w:tcMar>
            <w:top w:w="0" w:type="dxa"/>
            <w:left w:w="108" w:type="dxa"/>
            <w:bottom w:w="0" w:type="dxa"/>
            <w:right w:w="108" w:type="dxa"/>
          </w:tcMar>
        </w:tcPr>
        <w:p w:rsidR="00DB4CA0" w:rsidRPr="00E166B8" w:rsidRDefault="00F65A41" w:rsidP="00E166B8">
          <w:pPr>
            <w:pStyle w:val="Header"/>
            <w:spacing w:before="60"/>
            <w:rPr>
              <w:rFonts w:ascii="Arial" w:hAnsi="Arial" w:cs="Arial"/>
            </w:rPr>
          </w:pPr>
          <w:r>
            <w:rPr>
              <w:rFonts w:ascii="Arial" w:hAnsi="Arial" w:cs="Arial"/>
            </w:rPr>
            <w:t>22 June 2018</w:t>
          </w:r>
        </w:p>
      </w:tc>
    </w:tr>
    <w:tr w:rsidR="00DB4CA0" w:rsidTr="00FD0152">
      <w:trPr>
        <w:gridAfter w:val="1"/>
        <w:wAfter w:w="427" w:type="dxa"/>
        <w:trHeight w:val="87"/>
      </w:trPr>
      <w:tc>
        <w:tcPr>
          <w:tcW w:w="5912" w:type="dxa"/>
          <w:vMerge/>
          <w:shd w:val="clear" w:color="auto" w:fill="auto"/>
          <w:tcMar>
            <w:top w:w="0" w:type="dxa"/>
            <w:left w:w="108" w:type="dxa"/>
            <w:bottom w:w="0" w:type="dxa"/>
            <w:right w:w="108" w:type="dxa"/>
          </w:tcMar>
        </w:tcPr>
        <w:p w:rsidR="00DB4CA0" w:rsidRDefault="00DB4CA0">
          <w:pPr>
            <w:pStyle w:val="Header"/>
          </w:pPr>
        </w:p>
      </w:tc>
      <w:tc>
        <w:tcPr>
          <w:tcW w:w="3159" w:type="dxa"/>
          <w:shd w:val="clear" w:color="auto" w:fill="auto"/>
          <w:tcMar>
            <w:top w:w="0" w:type="dxa"/>
            <w:left w:w="108" w:type="dxa"/>
            <w:bottom w:w="0" w:type="dxa"/>
            <w:right w:w="108" w:type="dxa"/>
          </w:tcMar>
        </w:tcPr>
        <w:p w:rsidR="00DB4CA0" w:rsidRDefault="00DB4CA0">
          <w:pPr>
            <w:pStyle w:val="Header"/>
            <w:spacing w:before="60"/>
            <w:rPr>
              <w:rFonts w:ascii="Arial" w:hAnsi="Arial" w:cs="Arial"/>
              <w:b/>
              <w:szCs w:val="22"/>
            </w:rPr>
          </w:pPr>
        </w:p>
      </w:tc>
    </w:tr>
  </w:tbl>
  <w:p w:rsidR="00DB4CA0" w:rsidRDefault="00DB4C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A41BC2"/>
    <w:multiLevelType w:val="hybridMultilevel"/>
    <w:tmpl w:val="AED4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14C44"/>
    <w:multiLevelType w:val="hybridMultilevel"/>
    <w:tmpl w:val="3E8CFC62"/>
    <w:lvl w:ilvl="0" w:tplc="F5B4BAE4">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8F1471"/>
    <w:multiLevelType w:val="hybridMultilevel"/>
    <w:tmpl w:val="D9040DF0"/>
    <w:lvl w:ilvl="0" w:tplc="A83C734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E29CC"/>
    <w:multiLevelType w:val="hybridMultilevel"/>
    <w:tmpl w:val="4B2AEBA4"/>
    <w:lvl w:ilvl="0" w:tplc="CF8A82F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55FAA"/>
    <w:multiLevelType w:val="hybridMultilevel"/>
    <w:tmpl w:val="832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A4989"/>
    <w:multiLevelType w:val="hybridMultilevel"/>
    <w:tmpl w:val="51E04DF8"/>
    <w:lvl w:ilvl="0" w:tplc="5920B6E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B0A87"/>
    <w:multiLevelType w:val="hybridMultilevel"/>
    <w:tmpl w:val="2244FB70"/>
    <w:lvl w:ilvl="0" w:tplc="8F9861D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8236C"/>
    <w:multiLevelType w:val="hybridMultilevel"/>
    <w:tmpl w:val="63F054DE"/>
    <w:lvl w:ilvl="0" w:tplc="72D8354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7171"/>
    <w:multiLevelType w:val="multilevel"/>
    <w:tmpl w:val="AC12C232"/>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40C5B"/>
    <w:multiLevelType w:val="hybridMultilevel"/>
    <w:tmpl w:val="82068D2E"/>
    <w:lvl w:ilvl="0" w:tplc="C65C68F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476FA"/>
    <w:multiLevelType w:val="hybridMultilevel"/>
    <w:tmpl w:val="45AC243E"/>
    <w:lvl w:ilvl="0" w:tplc="7B10B39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01097"/>
    <w:multiLevelType w:val="hybridMultilevel"/>
    <w:tmpl w:val="45EE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82140"/>
    <w:multiLevelType w:val="hybridMultilevel"/>
    <w:tmpl w:val="90882496"/>
    <w:lvl w:ilvl="0" w:tplc="7110E0A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2"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94D7340"/>
    <w:multiLevelType w:val="hybridMultilevel"/>
    <w:tmpl w:val="7618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4797C"/>
    <w:multiLevelType w:val="hybridMultilevel"/>
    <w:tmpl w:val="D4D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319A5"/>
    <w:multiLevelType w:val="multilevel"/>
    <w:tmpl w:val="BD16ADF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A125F2"/>
    <w:multiLevelType w:val="hybridMultilevel"/>
    <w:tmpl w:val="3722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8"/>
  </w:num>
  <w:num w:numId="7">
    <w:abstractNumId w:val="13"/>
  </w:num>
  <w:num w:numId="8">
    <w:abstractNumId w:val="17"/>
  </w:num>
  <w:num w:numId="9">
    <w:abstractNumId w:val="21"/>
  </w:num>
  <w:num w:numId="10">
    <w:abstractNumId w:val="26"/>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4"/>
  </w:num>
  <w:num w:numId="16">
    <w:abstractNumId w:val="7"/>
  </w:num>
  <w:num w:numId="17">
    <w:abstractNumId w:val="23"/>
  </w:num>
  <w:num w:numId="18">
    <w:abstractNumId w:val="19"/>
  </w:num>
  <w:num w:numId="19">
    <w:abstractNumId w:val="27"/>
  </w:num>
  <w:num w:numId="20">
    <w:abstractNumId w:val="5"/>
  </w:num>
  <w:num w:numId="21">
    <w:abstractNumId w:val="14"/>
  </w:num>
  <w:num w:numId="22">
    <w:abstractNumId w:val="3"/>
  </w:num>
  <w:num w:numId="23">
    <w:abstractNumId w:val="12"/>
  </w:num>
  <w:num w:numId="24">
    <w:abstractNumId w:val="20"/>
  </w:num>
  <w:num w:numId="25">
    <w:abstractNumId w:val="16"/>
  </w:num>
  <w:num w:numId="26">
    <w:abstractNumId w:val="6"/>
  </w:num>
  <w:num w:numId="27">
    <w:abstractNumId w:val="10"/>
  </w:num>
  <w:num w:numId="28">
    <w:abstractNumId w:val="18"/>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567"/>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392A"/>
    <w:rsid w:val="00081250"/>
    <w:rsid w:val="00093332"/>
    <w:rsid w:val="000A0C6B"/>
    <w:rsid w:val="000A2BBA"/>
    <w:rsid w:val="000B6944"/>
    <w:rsid w:val="000D3AC0"/>
    <w:rsid w:val="000D5C86"/>
    <w:rsid w:val="000D7BC3"/>
    <w:rsid w:val="000E165E"/>
    <w:rsid w:val="00115148"/>
    <w:rsid w:val="00151D1B"/>
    <w:rsid w:val="00153D14"/>
    <w:rsid w:val="001911BB"/>
    <w:rsid w:val="0019546C"/>
    <w:rsid w:val="001B640B"/>
    <w:rsid w:val="001C6648"/>
    <w:rsid w:val="001E26F3"/>
    <w:rsid w:val="00200D1B"/>
    <w:rsid w:val="0020573E"/>
    <w:rsid w:val="00207A8F"/>
    <w:rsid w:val="002145DB"/>
    <w:rsid w:val="002270F8"/>
    <w:rsid w:val="00251E2B"/>
    <w:rsid w:val="00256983"/>
    <w:rsid w:val="00261693"/>
    <w:rsid w:val="00272306"/>
    <w:rsid w:val="002F481C"/>
    <w:rsid w:val="00321F58"/>
    <w:rsid w:val="003369AB"/>
    <w:rsid w:val="003553A6"/>
    <w:rsid w:val="003B6C72"/>
    <w:rsid w:val="003D58E9"/>
    <w:rsid w:val="003F3F76"/>
    <w:rsid w:val="004061B2"/>
    <w:rsid w:val="004160FF"/>
    <w:rsid w:val="0042458D"/>
    <w:rsid w:val="004421C0"/>
    <w:rsid w:val="00485372"/>
    <w:rsid w:val="00486F5F"/>
    <w:rsid w:val="00492417"/>
    <w:rsid w:val="00494B78"/>
    <w:rsid w:val="004A3EDF"/>
    <w:rsid w:val="004D12C1"/>
    <w:rsid w:val="00502689"/>
    <w:rsid w:val="005635A8"/>
    <w:rsid w:val="005713B9"/>
    <w:rsid w:val="005A37DC"/>
    <w:rsid w:val="005B117F"/>
    <w:rsid w:val="005C0B80"/>
    <w:rsid w:val="005D2BAE"/>
    <w:rsid w:val="00682ABF"/>
    <w:rsid w:val="006A26B6"/>
    <w:rsid w:val="006D20A7"/>
    <w:rsid w:val="0070561C"/>
    <w:rsid w:val="00724269"/>
    <w:rsid w:val="0073071C"/>
    <w:rsid w:val="0074749D"/>
    <w:rsid w:val="00761F3D"/>
    <w:rsid w:val="00773785"/>
    <w:rsid w:val="007803DB"/>
    <w:rsid w:val="00782D8E"/>
    <w:rsid w:val="007A500E"/>
    <w:rsid w:val="007D4B81"/>
    <w:rsid w:val="007E6A85"/>
    <w:rsid w:val="00854F0A"/>
    <w:rsid w:val="00867000"/>
    <w:rsid w:val="0086728C"/>
    <w:rsid w:val="00877589"/>
    <w:rsid w:val="00890615"/>
    <w:rsid w:val="00890725"/>
    <w:rsid w:val="00890F62"/>
    <w:rsid w:val="008B3598"/>
    <w:rsid w:val="008B42AE"/>
    <w:rsid w:val="008D1401"/>
    <w:rsid w:val="008E3E60"/>
    <w:rsid w:val="00921D28"/>
    <w:rsid w:val="00931E4C"/>
    <w:rsid w:val="00933A50"/>
    <w:rsid w:val="00966D0C"/>
    <w:rsid w:val="00970B55"/>
    <w:rsid w:val="00981ADD"/>
    <w:rsid w:val="009B5192"/>
    <w:rsid w:val="009C3DC1"/>
    <w:rsid w:val="009C6746"/>
    <w:rsid w:val="009C7641"/>
    <w:rsid w:val="009C7E96"/>
    <w:rsid w:val="009D19D4"/>
    <w:rsid w:val="009D3277"/>
    <w:rsid w:val="009D70E4"/>
    <w:rsid w:val="009E2901"/>
    <w:rsid w:val="00A06800"/>
    <w:rsid w:val="00A07591"/>
    <w:rsid w:val="00A23844"/>
    <w:rsid w:val="00A60B9D"/>
    <w:rsid w:val="00A64C18"/>
    <w:rsid w:val="00AA4559"/>
    <w:rsid w:val="00AE0F29"/>
    <w:rsid w:val="00AF0335"/>
    <w:rsid w:val="00B61A8F"/>
    <w:rsid w:val="00B84D7D"/>
    <w:rsid w:val="00BA3BA3"/>
    <w:rsid w:val="00BA705B"/>
    <w:rsid w:val="00BB17B6"/>
    <w:rsid w:val="00BC24FA"/>
    <w:rsid w:val="00C13247"/>
    <w:rsid w:val="00C302D4"/>
    <w:rsid w:val="00C3342D"/>
    <w:rsid w:val="00C476FF"/>
    <w:rsid w:val="00C76A3E"/>
    <w:rsid w:val="00CA674A"/>
    <w:rsid w:val="00CB2EB1"/>
    <w:rsid w:val="00CE38B8"/>
    <w:rsid w:val="00D17507"/>
    <w:rsid w:val="00D36E08"/>
    <w:rsid w:val="00D62FCC"/>
    <w:rsid w:val="00D87874"/>
    <w:rsid w:val="00DA112D"/>
    <w:rsid w:val="00DB4CA0"/>
    <w:rsid w:val="00DC4537"/>
    <w:rsid w:val="00DF743C"/>
    <w:rsid w:val="00E034FA"/>
    <w:rsid w:val="00E166B8"/>
    <w:rsid w:val="00E17D59"/>
    <w:rsid w:val="00E23F0E"/>
    <w:rsid w:val="00E46557"/>
    <w:rsid w:val="00E72015"/>
    <w:rsid w:val="00E8576B"/>
    <w:rsid w:val="00E87AC3"/>
    <w:rsid w:val="00EB4149"/>
    <w:rsid w:val="00EC6974"/>
    <w:rsid w:val="00EE70B4"/>
    <w:rsid w:val="00F067B7"/>
    <w:rsid w:val="00F1685B"/>
    <w:rsid w:val="00F206F7"/>
    <w:rsid w:val="00F375F5"/>
    <w:rsid w:val="00F42712"/>
    <w:rsid w:val="00F47DBD"/>
    <w:rsid w:val="00F65A41"/>
    <w:rsid w:val="00F75AE9"/>
    <w:rsid w:val="00F9416D"/>
    <w:rsid w:val="00F9537A"/>
    <w:rsid w:val="00FA1D47"/>
    <w:rsid w:val="00FA3404"/>
    <w:rsid w:val="00FC7580"/>
    <w:rsid w:val="00FD0152"/>
    <w:rsid w:val="00FD340A"/>
    <w:rsid w:val="00FE0E83"/>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uiPriority w:val="34"/>
    <w:rPr>
      <w:rFonts w:ascii="Frutiger 45 Light" w:hAnsi="Frutiger 45 Light"/>
      <w:sz w:val="22"/>
    </w:rPr>
  </w:style>
  <w:style w:type="character" w:customStyle="1" w:styleId="ReportTemplate">
    <w:name w:val="Report Template"/>
    <w:uiPriority w:val="1"/>
    <w:qFormat/>
    <w:rsid w:val="005A37DC"/>
  </w:style>
  <w:style w:type="table" w:styleId="TableGrid">
    <w:name w:val="Table Grid"/>
    <w:basedOn w:val="TableNormal"/>
    <w:uiPriority w:val="39"/>
    <w:rsid w:val="0078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9E2901"/>
    <w:pPr>
      <w:suppressAutoHyphens w:val="0"/>
      <w:autoSpaceDN/>
      <w:spacing w:after="160" w:line="276" w:lineRule="auto"/>
      <w:ind w:left="357" w:hanging="357"/>
      <w:textAlignment w:val="auto"/>
    </w:pPr>
    <w:rPr>
      <w:rFonts w:ascii="Arial" w:eastAsiaTheme="minorHAnsi" w:hAnsi="Arial" w:cstheme="minorBidi"/>
      <w:b/>
      <w:sz w:val="28"/>
      <w:szCs w:val="22"/>
      <w:lang w:eastAsia="en-US"/>
    </w:rPr>
  </w:style>
  <w:style w:type="character" w:customStyle="1" w:styleId="Title1Char">
    <w:name w:val="Title 1 Char"/>
    <w:basedOn w:val="DefaultParagraphFont"/>
    <w:link w:val="Title1"/>
    <w:rsid w:val="009E2901"/>
    <w:rPr>
      <w:rFonts w:ascii="Arial" w:eastAsiaTheme="minorHAnsi" w:hAnsi="Arial" w:cstheme="minorBidi"/>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589119133">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ucy.ellender@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fire-and-rescue-services-england-guide-police-and-crime-panel-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TaxKeywordTaxHTField xmlns="1c8a0e75-f4bc-4eb4-8ed0-578eaea9e1ca">
      <Terms xmlns="http://schemas.microsoft.com/office/infopath/2007/PartnerControls"/>
    </TaxKeywordTaxHTField>
    <Folder xmlns="1c8a0e75-f4bc-4eb4-8ed0-578eaea9e1ca">June 2018</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D0FE2-49B2-4A50-8560-C896FB20688A}">
  <ds:schemaRefs>
    <ds:schemaRef ds:uri="http://schemas.microsoft.com/office/2006/metadata/properti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3.xml><?xml version="1.0" encoding="utf-8"?>
<ds:datastoreItem xmlns:ds="http://schemas.openxmlformats.org/officeDocument/2006/customXml" ds:itemID="{2608C1E6-AD77-4FB7-93C3-631B05E37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1EF49E20</Template>
  <TotalTime>19</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Benn Cain</cp:lastModifiedBy>
  <cp:revision>8</cp:revision>
  <cp:lastPrinted>2018-05-10T13:49:00Z</cp:lastPrinted>
  <dcterms:created xsi:type="dcterms:W3CDTF">2018-06-15T09:16:00Z</dcterms:created>
  <dcterms:modified xsi:type="dcterms:W3CDTF">2018-06-18T10:41:00Z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